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46E057" w14:textId="77777777" w:rsidR="005E472F" w:rsidRPr="00C56A10" w:rsidRDefault="005E472F" w:rsidP="009142FC">
      <w:pPr>
        <w:autoSpaceDE w:val="0"/>
        <w:autoSpaceDN w:val="0"/>
        <w:adjustRightInd w:val="0"/>
        <w:jc w:val="center"/>
        <w:rPr>
          <w:rFonts w:ascii="Times New Roman" w:hAnsi="Times New Roman" w:cs="Times New Roman"/>
          <w:sz w:val="28"/>
          <w:szCs w:val="28"/>
        </w:rPr>
      </w:pPr>
      <w:r w:rsidRPr="00C56A10">
        <w:rPr>
          <w:rFonts w:ascii="Times New Roman" w:hAnsi="Times New Roman" w:cs="Times New Roman"/>
          <w:sz w:val="28"/>
          <w:szCs w:val="28"/>
        </w:rPr>
        <w:t>Jihočeská univerzita v Českých Budějovicích</w:t>
      </w:r>
    </w:p>
    <w:p w14:paraId="541963D0" w14:textId="77777777" w:rsidR="005E472F" w:rsidRPr="00C56A10" w:rsidRDefault="005E472F" w:rsidP="009142FC">
      <w:pPr>
        <w:autoSpaceDE w:val="0"/>
        <w:autoSpaceDN w:val="0"/>
        <w:adjustRightInd w:val="0"/>
        <w:jc w:val="center"/>
        <w:rPr>
          <w:rFonts w:ascii="Times New Roman" w:hAnsi="Times New Roman" w:cs="Times New Roman"/>
          <w:sz w:val="28"/>
          <w:szCs w:val="28"/>
        </w:rPr>
      </w:pPr>
      <w:r w:rsidRPr="00C56A10">
        <w:rPr>
          <w:rFonts w:ascii="Times New Roman" w:hAnsi="Times New Roman" w:cs="Times New Roman"/>
          <w:sz w:val="28"/>
          <w:szCs w:val="28"/>
        </w:rPr>
        <w:t>Ekonomická fakulta</w:t>
      </w:r>
    </w:p>
    <w:p w14:paraId="5D54F921" w14:textId="77777777" w:rsidR="005E472F" w:rsidRPr="00C56A10" w:rsidRDefault="005E472F" w:rsidP="009142FC">
      <w:pPr>
        <w:pStyle w:val="Zkladntext"/>
        <w:jc w:val="center"/>
        <w:rPr>
          <w:sz w:val="32"/>
          <w:szCs w:val="32"/>
        </w:rPr>
      </w:pPr>
      <w:r w:rsidRPr="00C56A10">
        <w:rPr>
          <w:sz w:val="32"/>
          <w:szCs w:val="32"/>
        </w:rPr>
        <w:t>Katedra účetnictví a financí</w:t>
      </w:r>
    </w:p>
    <w:p w14:paraId="27565C26" w14:textId="77777777" w:rsidR="005E472F" w:rsidRPr="00C56A10" w:rsidRDefault="005E472F" w:rsidP="009142FC">
      <w:pPr>
        <w:autoSpaceDE w:val="0"/>
        <w:autoSpaceDN w:val="0"/>
        <w:adjustRightInd w:val="0"/>
        <w:jc w:val="center"/>
        <w:rPr>
          <w:rFonts w:ascii="Times New Roman" w:hAnsi="Times New Roman" w:cs="Times New Roman"/>
          <w:b/>
          <w:bCs/>
          <w:sz w:val="36"/>
          <w:szCs w:val="36"/>
        </w:rPr>
      </w:pPr>
    </w:p>
    <w:p w14:paraId="3719F47F" w14:textId="08C33D17" w:rsidR="005E472F" w:rsidRPr="00C56A10" w:rsidRDefault="005E472F" w:rsidP="009142FC">
      <w:pPr>
        <w:autoSpaceDE w:val="0"/>
        <w:autoSpaceDN w:val="0"/>
        <w:adjustRightInd w:val="0"/>
        <w:jc w:val="center"/>
        <w:rPr>
          <w:rFonts w:ascii="Times New Roman" w:hAnsi="Times New Roman" w:cs="Times New Roman"/>
          <w:sz w:val="32"/>
          <w:szCs w:val="32"/>
        </w:rPr>
      </w:pPr>
      <w:r w:rsidRPr="00C56A10">
        <w:rPr>
          <w:rFonts w:ascii="Times New Roman" w:hAnsi="Times New Roman" w:cs="Times New Roman"/>
          <w:sz w:val="32"/>
          <w:szCs w:val="32"/>
        </w:rPr>
        <w:t>Teze bakalářské práce</w:t>
      </w:r>
    </w:p>
    <w:p w14:paraId="79C58C0B" w14:textId="77777777" w:rsidR="005E472F" w:rsidRPr="00C56A10" w:rsidRDefault="005E472F" w:rsidP="009142FC">
      <w:pPr>
        <w:autoSpaceDE w:val="0"/>
        <w:autoSpaceDN w:val="0"/>
        <w:adjustRightInd w:val="0"/>
        <w:jc w:val="center"/>
        <w:rPr>
          <w:rFonts w:ascii="Times New Roman" w:hAnsi="Times New Roman" w:cs="Times New Roman"/>
          <w:sz w:val="44"/>
          <w:szCs w:val="44"/>
        </w:rPr>
      </w:pPr>
    </w:p>
    <w:p w14:paraId="01A1D163" w14:textId="1EC1B82C" w:rsidR="005E472F" w:rsidRPr="00C56A10" w:rsidRDefault="005E472F" w:rsidP="009142FC">
      <w:pPr>
        <w:autoSpaceDE w:val="0"/>
        <w:autoSpaceDN w:val="0"/>
        <w:adjustRightInd w:val="0"/>
        <w:jc w:val="center"/>
        <w:rPr>
          <w:rFonts w:ascii="Times New Roman" w:hAnsi="Times New Roman" w:cs="Times New Roman"/>
          <w:sz w:val="40"/>
          <w:szCs w:val="40"/>
        </w:rPr>
      </w:pPr>
      <w:r w:rsidRPr="00C56A10">
        <w:rPr>
          <w:rFonts w:ascii="Times New Roman" w:hAnsi="Times New Roman" w:cs="Times New Roman"/>
          <w:sz w:val="40"/>
          <w:szCs w:val="40"/>
        </w:rPr>
        <w:t>Tvorba a aplikace systému hodnocení finanční situace podniku</w:t>
      </w:r>
    </w:p>
    <w:p w14:paraId="37EA69C7" w14:textId="77777777" w:rsidR="005E472F" w:rsidRPr="00C56A10" w:rsidRDefault="005E472F" w:rsidP="009142FC">
      <w:pPr>
        <w:autoSpaceDE w:val="0"/>
        <w:autoSpaceDN w:val="0"/>
        <w:adjustRightInd w:val="0"/>
        <w:jc w:val="center"/>
        <w:rPr>
          <w:rFonts w:ascii="Times New Roman" w:hAnsi="Times New Roman" w:cs="Times New Roman"/>
          <w:sz w:val="24"/>
          <w:szCs w:val="24"/>
        </w:rPr>
      </w:pPr>
    </w:p>
    <w:p w14:paraId="1A3974EA" w14:textId="77777777" w:rsidR="005E472F" w:rsidRPr="00C56A10" w:rsidRDefault="005E472F" w:rsidP="009142FC">
      <w:pPr>
        <w:autoSpaceDE w:val="0"/>
        <w:autoSpaceDN w:val="0"/>
        <w:adjustRightInd w:val="0"/>
        <w:jc w:val="center"/>
        <w:rPr>
          <w:rFonts w:ascii="Times New Roman" w:hAnsi="Times New Roman" w:cs="Times New Roman"/>
          <w:sz w:val="28"/>
          <w:szCs w:val="28"/>
        </w:rPr>
      </w:pPr>
      <w:r w:rsidRPr="00C56A10">
        <w:rPr>
          <w:rFonts w:ascii="Times New Roman" w:hAnsi="Times New Roman" w:cs="Times New Roman"/>
          <w:sz w:val="28"/>
          <w:szCs w:val="28"/>
        </w:rPr>
        <w:t>Vypracovala: Elizaveta Vlasenko</w:t>
      </w:r>
    </w:p>
    <w:p w14:paraId="42ED93DD" w14:textId="22A4B3F3" w:rsidR="005E472F" w:rsidRPr="00C56A10" w:rsidRDefault="005E472F" w:rsidP="009142FC">
      <w:pPr>
        <w:autoSpaceDE w:val="0"/>
        <w:autoSpaceDN w:val="0"/>
        <w:adjustRightInd w:val="0"/>
        <w:jc w:val="center"/>
        <w:rPr>
          <w:rFonts w:ascii="Times New Roman" w:hAnsi="Times New Roman" w:cs="Times New Roman"/>
          <w:sz w:val="28"/>
          <w:szCs w:val="28"/>
        </w:rPr>
      </w:pPr>
      <w:r w:rsidRPr="00C56A10">
        <w:rPr>
          <w:rFonts w:ascii="Times New Roman" w:hAnsi="Times New Roman" w:cs="Times New Roman"/>
          <w:sz w:val="28"/>
          <w:szCs w:val="28"/>
        </w:rPr>
        <w:t>Vedoucí práce: Ing. Daniel Kopta Ph.D.</w:t>
      </w:r>
    </w:p>
    <w:p w14:paraId="2398419A" w14:textId="77777777" w:rsidR="005E472F" w:rsidRPr="00C56A10" w:rsidRDefault="005E472F" w:rsidP="009142FC">
      <w:pPr>
        <w:autoSpaceDE w:val="0"/>
        <w:autoSpaceDN w:val="0"/>
        <w:adjustRightInd w:val="0"/>
        <w:jc w:val="center"/>
        <w:rPr>
          <w:rFonts w:ascii="Times New Roman" w:hAnsi="Times New Roman" w:cs="Times New Roman"/>
          <w:sz w:val="28"/>
          <w:szCs w:val="28"/>
        </w:rPr>
      </w:pPr>
    </w:p>
    <w:p w14:paraId="2F4E5B74" w14:textId="77777777" w:rsidR="005E472F" w:rsidRPr="00C56A10" w:rsidRDefault="005E472F" w:rsidP="009142FC">
      <w:pPr>
        <w:pStyle w:val="Zkladntext"/>
        <w:jc w:val="center"/>
        <w:rPr>
          <w:rFonts w:eastAsiaTheme="minorHAnsi"/>
          <w:sz w:val="28"/>
          <w:szCs w:val="28"/>
          <w:lang w:eastAsia="en-US"/>
        </w:rPr>
      </w:pPr>
      <w:r w:rsidRPr="00C56A10">
        <w:rPr>
          <w:rFonts w:eastAsiaTheme="minorHAnsi"/>
          <w:sz w:val="28"/>
          <w:szCs w:val="28"/>
          <w:lang w:eastAsia="en-US"/>
        </w:rPr>
        <w:t>České Budějovice</w:t>
      </w:r>
    </w:p>
    <w:p w14:paraId="6C1746A2" w14:textId="77777777" w:rsidR="005E472F" w:rsidRPr="00C56A10" w:rsidRDefault="005E472F" w:rsidP="009142FC">
      <w:pPr>
        <w:pStyle w:val="Zkladntext"/>
        <w:jc w:val="center"/>
        <w:rPr>
          <w:rFonts w:eastAsiaTheme="minorHAnsi"/>
          <w:sz w:val="28"/>
          <w:szCs w:val="28"/>
          <w:lang w:eastAsia="en-US"/>
        </w:rPr>
      </w:pPr>
    </w:p>
    <w:p w14:paraId="53FD985B" w14:textId="6A2C56A8" w:rsidR="005E472F" w:rsidRPr="00C56A10" w:rsidRDefault="005E472F" w:rsidP="009142FC">
      <w:pPr>
        <w:pStyle w:val="Zkladntext"/>
        <w:jc w:val="center"/>
      </w:pPr>
      <w:r w:rsidRPr="00C56A10">
        <w:rPr>
          <w:rFonts w:eastAsiaTheme="minorHAnsi"/>
          <w:sz w:val="28"/>
          <w:szCs w:val="28"/>
          <w:lang w:eastAsia="en-US"/>
        </w:rPr>
        <w:t>2023</w:t>
      </w:r>
    </w:p>
    <w:p w14:paraId="42CABD4A" w14:textId="77777777" w:rsidR="005E472F" w:rsidRPr="005E472F" w:rsidRDefault="005E472F" w:rsidP="005E472F">
      <w:pPr>
        <w:pStyle w:val="Zkladntext"/>
        <w:jc w:val="center"/>
      </w:pPr>
    </w:p>
    <w:p w14:paraId="76CC9EBD" w14:textId="77777777" w:rsidR="005E472F" w:rsidRPr="005E472F" w:rsidRDefault="005E472F" w:rsidP="005E472F">
      <w:pPr>
        <w:pStyle w:val="Zkladntext"/>
        <w:pBdr>
          <w:bottom w:val="single" w:sz="4" w:space="1" w:color="auto"/>
        </w:pBdr>
        <w:jc w:val="center"/>
      </w:pPr>
    </w:p>
    <w:p w14:paraId="22F2B737" w14:textId="3705F8DB" w:rsidR="005E472F" w:rsidRPr="005E472F" w:rsidRDefault="005E472F" w:rsidP="005E472F">
      <w:pPr>
        <w:rPr>
          <w:rFonts w:ascii="Times New Roman" w:hAnsi="Times New Roman" w:cs="Times New Roman"/>
        </w:rPr>
      </w:pPr>
      <w:r w:rsidRPr="005E472F">
        <w:rPr>
          <w:rFonts w:ascii="Times New Roman" w:hAnsi="Times New Roman" w:cs="Times New Roman"/>
          <w:b/>
        </w:rPr>
        <w:t>Klíčová slova:</w:t>
      </w:r>
      <w:r w:rsidRPr="005E472F">
        <w:rPr>
          <w:rFonts w:ascii="Times New Roman" w:hAnsi="Times New Roman" w:cs="Times New Roman"/>
        </w:rPr>
        <w:t xml:space="preserve"> </w:t>
      </w:r>
      <w:r w:rsidR="001A2688" w:rsidRPr="001A2688">
        <w:rPr>
          <w:rFonts w:ascii="Times New Roman" w:hAnsi="Times New Roman" w:cs="Times New Roman"/>
        </w:rPr>
        <w:t>oceňování podniků, finanční analýza, metody oceňování, statistické ukazatele, účetní výkazy</w:t>
      </w:r>
    </w:p>
    <w:p w14:paraId="6921F95B" w14:textId="77777777" w:rsidR="001A2688" w:rsidRDefault="005E472F" w:rsidP="001A2688">
      <w:pPr>
        <w:jc w:val="both"/>
        <w:rPr>
          <w:rFonts w:ascii="Times New Roman" w:hAnsi="Times New Roman" w:cs="Times New Roman"/>
        </w:rPr>
      </w:pPr>
      <w:r w:rsidRPr="005E472F">
        <w:rPr>
          <w:rFonts w:ascii="Times New Roman" w:hAnsi="Times New Roman" w:cs="Times New Roman"/>
          <w:b/>
        </w:rPr>
        <w:t xml:space="preserve">Anotace: </w:t>
      </w:r>
    </w:p>
    <w:p w14:paraId="4CDA335F" w14:textId="49AF677D" w:rsidR="001A2688" w:rsidRPr="001A2688" w:rsidRDefault="001A2688" w:rsidP="001A2688">
      <w:pPr>
        <w:jc w:val="both"/>
        <w:rPr>
          <w:rFonts w:ascii="Times New Roman" w:hAnsi="Times New Roman" w:cs="Times New Roman"/>
          <w:sz w:val="24"/>
          <w:szCs w:val="24"/>
        </w:rPr>
      </w:pPr>
      <w:r w:rsidRPr="001A2688">
        <w:rPr>
          <w:rFonts w:ascii="Times New Roman" w:hAnsi="Times New Roman" w:cs="Times New Roman"/>
          <w:sz w:val="24"/>
          <w:szCs w:val="24"/>
        </w:rPr>
        <w:t>Bakalářská práce se věnuje vytvoření systému finančního hodnocení podniků s využitím dat z účetních výkazů. Typy statistických ukazatelů a možné způsoby jejich formální systematizace jsou známy, ale neexistuje jednotný systém hodnocení pro jednotlivé podniky.</w:t>
      </w:r>
    </w:p>
    <w:p w14:paraId="69F1B028" w14:textId="5D3D0A19" w:rsidR="001A2688" w:rsidRPr="001A2688" w:rsidRDefault="001A2688" w:rsidP="001A2688">
      <w:pPr>
        <w:jc w:val="both"/>
        <w:rPr>
          <w:rFonts w:ascii="Times New Roman" w:hAnsi="Times New Roman" w:cs="Times New Roman"/>
          <w:sz w:val="24"/>
          <w:szCs w:val="24"/>
        </w:rPr>
      </w:pPr>
      <w:r w:rsidRPr="001A2688">
        <w:rPr>
          <w:rFonts w:ascii="Times New Roman" w:hAnsi="Times New Roman" w:cs="Times New Roman"/>
          <w:sz w:val="24"/>
          <w:szCs w:val="24"/>
        </w:rPr>
        <w:t xml:space="preserve">Cílem práce je navrhnout systém hodnocení pro konkrétní podnik Mlékárna Kunín, s.r.o. na základě finančních ukazatelů a výběru existujících metod hodnocení. </w:t>
      </w:r>
      <w:r w:rsidR="0040753E" w:rsidRPr="0040753E">
        <w:rPr>
          <w:rFonts w:ascii="Times New Roman" w:hAnsi="Times New Roman" w:cs="Times New Roman"/>
          <w:sz w:val="24"/>
          <w:szCs w:val="24"/>
        </w:rPr>
        <w:t>Analýza je založena na zkoumání problémových oblastí společnosti pomocí klasických poměrových ukazatelů a prognostických modelů. Zohledňuje se rovněž odvětví a situace společnosti ve vztahu ke konkurenci.</w:t>
      </w:r>
    </w:p>
    <w:p w14:paraId="0536055A" w14:textId="77FFD6E7" w:rsidR="005E472F" w:rsidRPr="001A2688" w:rsidRDefault="001A2688" w:rsidP="001A2688">
      <w:pPr>
        <w:jc w:val="both"/>
        <w:rPr>
          <w:rFonts w:ascii="Times New Roman" w:hAnsi="Times New Roman" w:cs="Times New Roman"/>
          <w:sz w:val="24"/>
          <w:szCs w:val="24"/>
        </w:rPr>
      </w:pPr>
      <w:r w:rsidRPr="001A2688">
        <w:rPr>
          <w:rFonts w:ascii="Times New Roman" w:hAnsi="Times New Roman" w:cs="Times New Roman"/>
          <w:sz w:val="24"/>
          <w:szCs w:val="24"/>
        </w:rPr>
        <w:t>Závěrem analytické části je zhodnocení jak výsledků pro další rozvoj společnosti, tak i funkčnosti navržené metodiky.</w:t>
      </w:r>
    </w:p>
    <w:p w14:paraId="78CE633D" w14:textId="0880989B" w:rsidR="005E472F" w:rsidRDefault="005E472F">
      <w:pPr>
        <w:rPr>
          <w:rFonts w:ascii="Times New Roman" w:eastAsiaTheme="majorEastAsia" w:hAnsi="Times New Roman" w:cs="Times New Roman"/>
          <w:b/>
          <w:spacing w:val="-10"/>
          <w:kern w:val="28"/>
          <w:sz w:val="36"/>
          <w:szCs w:val="144"/>
        </w:rPr>
      </w:pPr>
    </w:p>
    <w:p w14:paraId="486B3418" w14:textId="77777777" w:rsidR="009142FC" w:rsidRPr="005E472F" w:rsidRDefault="009142FC">
      <w:pPr>
        <w:rPr>
          <w:rFonts w:ascii="Times New Roman" w:eastAsiaTheme="majorEastAsia" w:hAnsi="Times New Roman" w:cs="Times New Roman"/>
          <w:b/>
          <w:spacing w:val="-10"/>
          <w:kern w:val="28"/>
          <w:sz w:val="36"/>
          <w:szCs w:val="144"/>
        </w:rPr>
      </w:pPr>
    </w:p>
    <w:p w14:paraId="1433AA6F" w14:textId="1D1E0D8A" w:rsidR="005E472F" w:rsidRDefault="005E472F">
      <w:pPr>
        <w:rPr>
          <w:rFonts w:ascii="Times New Roman" w:eastAsiaTheme="majorEastAsia" w:hAnsi="Times New Roman" w:cs="Times New Roman"/>
          <w:b/>
          <w:spacing w:val="-10"/>
          <w:kern w:val="28"/>
          <w:sz w:val="36"/>
          <w:szCs w:val="144"/>
        </w:rPr>
      </w:pPr>
    </w:p>
    <w:p w14:paraId="3EAF0570" w14:textId="77777777" w:rsidR="00B14596" w:rsidRDefault="00B14596" w:rsidP="00C56A10">
      <w:pPr>
        <w:pStyle w:val="Nadpis1"/>
        <w:sectPr w:rsidR="00B14596">
          <w:footerReference w:type="default" r:id="rId8"/>
          <w:pgSz w:w="11906" w:h="16838"/>
          <w:pgMar w:top="1134" w:right="850" w:bottom="1134" w:left="1701" w:header="708" w:footer="708" w:gutter="0"/>
          <w:cols w:space="708"/>
          <w:docGrid w:linePitch="360"/>
        </w:sectPr>
      </w:pPr>
    </w:p>
    <w:p w14:paraId="2019FEDA" w14:textId="77777777" w:rsidR="00C56A10" w:rsidRDefault="00C56A10" w:rsidP="00C56A10">
      <w:pPr>
        <w:pStyle w:val="Nadpis1"/>
        <w:rPr>
          <w:b w:val="0"/>
        </w:rPr>
      </w:pPr>
      <w:r>
        <w:lastRenderedPageBreak/>
        <w:t>Úvod a přehled literatury</w:t>
      </w:r>
    </w:p>
    <w:p w14:paraId="2052A413" w14:textId="77777777" w:rsidR="00C56A10" w:rsidRDefault="00C56A10" w:rsidP="00C56A10">
      <w:pPr>
        <w:autoSpaceDE w:val="0"/>
        <w:autoSpaceDN w:val="0"/>
        <w:adjustRightInd w:val="0"/>
        <w:jc w:val="both"/>
        <w:rPr>
          <w:szCs w:val="24"/>
        </w:rPr>
      </w:pPr>
    </w:p>
    <w:p w14:paraId="0FAC9ACA" w14:textId="4DC12945" w:rsidR="002F028C" w:rsidRPr="00F07452" w:rsidRDefault="002F028C" w:rsidP="00F07452">
      <w:pPr>
        <w:spacing w:line="360" w:lineRule="auto"/>
        <w:ind w:firstLine="709"/>
        <w:jc w:val="both"/>
        <w:rPr>
          <w:rFonts w:ascii="Times New Roman" w:hAnsi="Times New Roman" w:cs="Times New Roman"/>
          <w:sz w:val="24"/>
          <w:szCs w:val="24"/>
        </w:rPr>
      </w:pPr>
      <w:r w:rsidRPr="002F028C">
        <w:rPr>
          <w:rFonts w:ascii="Times New Roman" w:hAnsi="Times New Roman" w:cs="Times New Roman"/>
          <w:sz w:val="24"/>
          <w:szCs w:val="24"/>
        </w:rPr>
        <w:t xml:space="preserve">Finanční analýza je proces zkoumání finančních informací společnosti s cílem pochopit její finanční výkonnost, stabilitu a ziskovost. Zahrnuje analýzu finančních výkazů, včetně rozvahy, výkazu zisku a ztráty a výkazu peněžních toků, s cílem identifikovat trendy, poměrové ukazatele a další klíčové finanční ukazatele. </w:t>
      </w:r>
      <w:r w:rsidRPr="00666E71">
        <w:rPr>
          <w:rFonts w:ascii="Times New Roman" w:hAnsi="Times New Roman" w:cs="Times New Roman"/>
          <w:sz w:val="24"/>
          <w:szCs w:val="24"/>
        </w:rPr>
        <w:t xml:space="preserve">(Synek, </w:t>
      </w:r>
      <w:proofErr w:type="spellStart"/>
      <w:r w:rsidRPr="00666E71">
        <w:rPr>
          <w:rFonts w:ascii="Times New Roman" w:hAnsi="Times New Roman" w:cs="Times New Roman"/>
          <w:sz w:val="24"/>
          <w:szCs w:val="24"/>
        </w:rPr>
        <w:t>Kislingerová</w:t>
      </w:r>
      <w:proofErr w:type="spellEnd"/>
      <w:r w:rsidRPr="00666E71">
        <w:rPr>
          <w:rFonts w:ascii="Times New Roman" w:hAnsi="Times New Roman" w:cs="Times New Roman"/>
          <w:sz w:val="24"/>
          <w:szCs w:val="24"/>
        </w:rPr>
        <w:t>, 2010)</w:t>
      </w:r>
    </w:p>
    <w:p w14:paraId="0C1710F2" w14:textId="6BF1BEFF" w:rsidR="002F028C" w:rsidRPr="00CF4C10" w:rsidRDefault="00F07452" w:rsidP="002F028C">
      <w:pPr>
        <w:spacing w:line="360" w:lineRule="auto"/>
        <w:ind w:firstLine="709"/>
        <w:jc w:val="both"/>
        <w:rPr>
          <w:rFonts w:ascii="Times New Roman" w:hAnsi="Times New Roman" w:cs="Times New Roman"/>
          <w:sz w:val="24"/>
          <w:szCs w:val="24"/>
        </w:rPr>
      </w:pPr>
      <w:r w:rsidRPr="00F07452">
        <w:rPr>
          <w:rFonts w:ascii="Times New Roman" w:hAnsi="Times New Roman" w:cs="Times New Roman"/>
          <w:sz w:val="24"/>
          <w:szCs w:val="24"/>
        </w:rPr>
        <w:t>Finanční analýza je základním nástrojem pro investory, věřitele a management, který jim umožňuje činit informovaná rozhodnutí o finančním zdraví společnosti. Pomáhá investorům rozhodnout, zda do společnosti investovat, věřitelům určit, zda společnosti poskytnout úvěr, a managementu identifikovat oblasti, které je třeba zlepšit, a přijímat kvalifikované rozhodnutí.</w:t>
      </w:r>
      <w:r w:rsidR="002F028C" w:rsidRPr="002F028C">
        <w:t xml:space="preserve"> </w:t>
      </w:r>
      <w:r w:rsidR="002F028C" w:rsidRPr="002F028C">
        <w:rPr>
          <w:rFonts w:ascii="Times New Roman" w:hAnsi="Times New Roman" w:cs="Times New Roman"/>
          <w:sz w:val="24"/>
          <w:szCs w:val="24"/>
        </w:rPr>
        <w:t>(Holečková,2008)</w:t>
      </w:r>
    </w:p>
    <w:p w14:paraId="37D25157" w14:textId="3C954796" w:rsidR="00C56A10" w:rsidRDefault="00F07452" w:rsidP="00F07452">
      <w:pPr>
        <w:spacing w:line="360" w:lineRule="auto"/>
        <w:ind w:firstLine="709"/>
        <w:jc w:val="both"/>
        <w:rPr>
          <w:rFonts w:ascii="Times New Roman" w:hAnsi="Times New Roman" w:cs="Times New Roman"/>
          <w:sz w:val="24"/>
          <w:szCs w:val="24"/>
        </w:rPr>
      </w:pPr>
      <w:r w:rsidRPr="00F07452">
        <w:rPr>
          <w:rFonts w:ascii="Times New Roman" w:hAnsi="Times New Roman" w:cs="Times New Roman"/>
          <w:sz w:val="24"/>
          <w:szCs w:val="24"/>
        </w:rPr>
        <w:t xml:space="preserve">Existují různé typy finanční analýzy, včetně analýzy poměrových ukazatelů, analýzy </w:t>
      </w:r>
      <w:r w:rsidR="00D433F4">
        <w:rPr>
          <w:rFonts w:ascii="Times New Roman" w:hAnsi="Times New Roman" w:cs="Times New Roman"/>
          <w:sz w:val="24"/>
          <w:szCs w:val="24"/>
        </w:rPr>
        <w:t>stavových ukazatelů, tokových</w:t>
      </w:r>
      <w:r w:rsidRPr="00F07452">
        <w:rPr>
          <w:rFonts w:ascii="Times New Roman" w:hAnsi="Times New Roman" w:cs="Times New Roman"/>
          <w:sz w:val="24"/>
          <w:szCs w:val="24"/>
        </w:rPr>
        <w:t xml:space="preserve"> a analýzy </w:t>
      </w:r>
      <w:r w:rsidR="00D433F4">
        <w:rPr>
          <w:rFonts w:ascii="Times New Roman" w:hAnsi="Times New Roman" w:cs="Times New Roman"/>
          <w:sz w:val="24"/>
          <w:szCs w:val="24"/>
        </w:rPr>
        <w:t xml:space="preserve">soustav </w:t>
      </w:r>
      <w:proofErr w:type="gramStart"/>
      <w:r w:rsidR="00D433F4">
        <w:rPr>
          <w:rFonts w:ascii="Times New Roman" w:hAnsi="Times New Roman" w:cs="Times New Roman"/>
          <w:sz w:val="24"/>
          <w:szCs w:val="24"/>
        </w:rPr>
        <w:t>ukazatelů</w:t>
      </w:r>
      <w:r w:rsidRPr="00F07452">
        <w:rPr>
          <w:rFonts w:ascii="Times New Roman" w:hAnsi="Times New Roman" w:cs="Times New Roman"/>
          <w:sz w:val="24"/>
          <w:szCs w:val="24"/>
        </w:rPr>
        <w:t>.</w:t>
      </w:r>
      <w:r w:rsidR="00D433F4" w:rsidRPr="00D433F4">
        <w:rPr>
          <w:rFonts w:ascii="Times New Roman" w:hAnsi="Times New Roman" w:cs="Times New Roman"/>
          <w:sz w:val="24"/>
          <w:szCs w:val="24"/>
        </w:rPr>
        <w:t>(</w:t>
      </w:r>
      <w:proofErr w:type="gramEnd"/>
      <w:r w:rsidR="00D433F4" w:rsidRPr="00D433F4">
        <w:rPr>
          <w:rFonts w:ascii="Times New Roman" w:hAnsi="Times New Roman" w:cs="Times New Roman"/>
          <w:sz w:val="24"/>
          <w:szCs w:val="24"/>
        </w:rPr>
        <w:t xml:space="preserve">Petra </w:t>
      </w:r>
      <w:proofErr w:type="spellStart"/>
      <w:r w:rsidR="00D433F4" w:rsidRPr="00D433F4">
        <w:rPr>
          <w:rFonts w:ascii="Times New Roman" w:hAnsi="Times New Roman" w:cs="Times New Roman"/>
          <w:sz w:val="24"/>
          <w:szCs w:val="24"/>
        </w:rPr>
        <w:t>Růčková</w:t>
      </w:r>
      <w:proofErr w:type="spellEnd"/>
      <w:r w:rsidR="00D433F4" w:rsidRPr="00D433F4">
        <w:rPr>
          <w:rFonts w:ascii="Times New Roman" w:hAnsi="Times New Roman" w:cs="Times New Roman"/>
          <w:sz w:val="24"/>
          <w:szCs w:val="24"/>
        </w:rPr>
        <w:t xml:space="preserve"> &amp; Michaela Roubíčková, 2012)</w:t>
      </w:r>
      <w:r w:rsidR="00D433F4">
        <w:rPr>
          <w:rFonts w:ascii="Times New Roman" w:hAnsi="Times New Roman" w:cs="Times New Roman"/>
          <w:sz w:val="24"/>
          <w:szCs w:val="24"/>
        </w:rPr>
        <w:t xml:space="preserve">. </w:t>
      </w:r>
      <w:r w:rsidR="00F46520" w:rsidRPr="00F46520">
        <w:rPr>
          <w:rFonts w:ascii="Times New Roman" w:hAnsi="Times New Roman" w:cs="Times New Roman"/>
          <w:sz w:val="24"/>
          <w:szCs w:val="24"/>
        </w:rPr>
        <w:t xml:space="preserve">Analýza </w:t>
      </w:r>
      <w:r w:rsidR="00D433F4">
        <w:rPr>
          <w:rFonts w:ascii="Times New Roman" w:hAnsi="Times New Roman" w:cs="Times New Roman"/>
          <w:sz w:val="24"/>
          <w:szCs w:val="24"/>
        </w:rPr>
        <w:t>stavových ukazatelů</w:t>
      </w:r>
      <w:r w:rsidR="00F46520" w:rsidRPr="00F46520">
        <w:rPr>
          <w:rFonts w:ascii="Times New Roman" w:hAnsi="Times New Roman" w:cs="Times New Roman"/>
          <w:sz w:val="24"/>
          <w:szCs w:val="24"/>
        </w:rPr>
        <w:t xml:space="preserve"> umožňuje vyhodnotit trendy jednotlivých položek prostřednictvím horizontální analýzy a jejich vztahy prostřednictvím vertikální analýzy. Horizontální analýza zahrnuje porovnání změn jednotlivých položek v účetnictví v čase pomocí absolutních i procentuálních změn. Výsledky lze vyjádřit ve formě základního a řetězového indexu. Vertikální analýza spočívá ve zjištění vztahu a procentuálního rozložení jednotlivých položek k jedné základní položce, jako jsou celková aktiva nebo pasiva v rozvahové analýze nebo celkové výnosy či tržby v analýze zisku a ztráty.</w:t>
      </w:r>
      <w:r w:rsidR="00F46520">
        <w:rPr>
          <w:rFonts w:ascii="Times New Roman" w:hAnsi="Times New Roman" w:cs="Times New Roman"/>
          <w:sz w:val="24"/>
          <w:szCs w:val="24"/>
        </w:rPr>
        <w:t xml:space="preserve"> </w:t>
      </w:r>
      <w:r w:rsidR="00D433F4" w:rsidRPr="00666E71">
        <w:rPr>
          <w:rFonts w:ascii="Times New Roman" w:hAnsi="Times New Roman" w:cs="Times New Roman"/>
          <w:sz w:val="24"/>
          <w:szCs w:val="24"/>
        </w:rPr>
        <w:t>(Sedláček, 2011).</w:t>
      </w:r>
      <w:r w:rsidR="00D433F4">
        <w:rPr>
          <w:rFonts w:ascii="Times New Roman" w:hAnsi="Times New Roman" w:cs="Times New Roman"/>
          <w:sz w:val="24"/>
          <w:szCs w:val="24"/>
        </w:rPr>
        <w:t xml:space="preserve"> </w:t>
      </w:r>
      <w:r w:rsidRPr="00F07452">
        <w:rPr>
          <w:rFonts w:ascii="Times New Roman" w:hAnsi="Times New Roman" w:cs="Times New Roman"/>
          <w:sz w:val="24"/>
          <w:szCs w:val="24"/>
        </w:rPr>
        <w:t>Poměrová analýza zahrnuje porovnávání různých finančních ukazatelů s cílem identifikovat trendy a vztahy mezi různými finančními ukazateli. Analýza trendů zahrnuje analýzu finančních výkazů v průběhu času s cílem identifikovat vzorce a trendy ve finančních údajích.</w:t>
      </w:r>
      <w:r w:rsidR="00F46520" w:rsidRPr="00F46520">
        <w:rPr>
          <w:rFonts w:ascii="Times New Roman" w:hAnsi="Times New Roman" w:cs="Times New Roman"/>
          <w:sz w:val="24"/>
          <w:szCs w:val="24"/>
        </w:rPr>
        <w:t xml:space="preserve"> </w:t>
      </w:r>
      <w:r w:rsidR="00F46520" w:rsidRPr="00666E71">
        <w:rPr>
          <w:rFonts w:ascii="Times New Roman" w:hAnsi="Times New Roman" w:cs="Times New Roman"/>
          <w:sz w:val="24"/>
          <w:szCs w:val="24"/>
        </w:rPr>
        <w:t>(Sedláček, 2011).</w:t>
      </w:r>
    </w:p>
    <w:p w14:paraId="1EF5C090" w14:textId="1B6C2625" w:rsidR="00BD4CFD" w:rsidRDefault="00BD4CFD" w:rsidP="00F07452">
      <w:pPr>
        <w:spacing w:line="360" w:lineRule="auto"/>
        <w:ind w:firstLine="709"/>
        <w:jc w:val="both"/>
        <w:rPr>
          <w:rFonts w:ascii="Times New Roman" w:hAnsi="Times New Roman" w:cs="Times New Roman"/>
          <w:sz w:val="24"/>
          <w:szCs w:val="24"/>
        </w:rPr>
      </w:pPr>
      <w:r w:rsidRPr="00BD4CFD">
        <w:rPr>
          <w:rFonts w:ascii="Times New Roman" w:hAnsi="Times New Roman" w:cs="Times New Roman"/>
          <w:sz w:val="24"/>
          <w:szCs w:val="24"/>
        </w:rPr>
        <w:t>Analýza finančních ukazatelů je důležitým nástrojem pro posouzení výkonnosti společnosti z hlediska likvidity, zadluženosti, aktivity, ziskovosti a tržní hodnoty</w:t>
      </w:r>
      <w:r>
        <w:rPr>
          <w:rFonts w:ascii="Times New Roman" w:hAnsi="Times New Roman" w:cs="Times New Roman"/>
          <w:sz w:val="24"/>
          <w:szCs w:val="24"/>
        </w:rPr>
        <w:t>.</w:t>
      </w:r>
      <w:r w:rsidRPr="00BD4CFD">
        <w:rPr>
          <w:rFonts w:ascii="Times New Roman" w:eastAsiaTheme="minorEastAsia" w:hAnsi="Times New Roman" w:cs="Times New Roman"/>
          <w:iCs/>
          <w:sz w:val="24"/>
          <w:szCs w:val="24"/>
        </w:rPr>
        <w:t xml:space="preserve"> </w:t>
      </w:r>
      <w:r w:rsidRPr="00666E71">
        <w:rPr>
          <w:rFonts w:ascii="Times New Roman" w:eastAsiaTheme="minorEastAsia" w:hAnsi="Times New Roman" w:cs="Times New Roman"/>
          <w:iCs/>
          <w:sz w:val="24"/>
          <w:szCs w:val="24"/>
        </w:rPr>
        <w:t>(Mařík a kol.,2011)</w:t>
      </w:r>
      <w:r w:rsidRPr="00BD4CFD">
        <w:rPr>
          <w:rFonts w:ascii="Times New Roman" w:hAnsi="Times New Roman" w:cs="Times New Roman"/>
          <w:sz w:val="24"/>
          <w:szCs w:val="24"/>
        </w:rPr>
        <w:t xml:space="preserve"> Ukazatele likvidity, jako je běžná likvidita a okamžitá likvidita, pomáhají určit, zda je společnost schopna dostát svým krátkodobým závazkům. </w:t>
      </w:r>
      <w:r w:rsidRPr="00666E71">
        <w:rPr>
          <w:rFonts w:ascii="Times New Roman" w:hAnsi="Times New Roman" w:cs="Times New Roman"/>
          <w:sz w:val="24"/>
          <w:szCs w:val="24"/>
        </w:rPr>
        <w:t>(Marek</w:t>
      </w:r>
      <w:r w:rsidRPr="009452D0">
        <w:rPr>
          <w:rFonts w:ascii="Times New Roman" w:hAnsi="Times New Roman" w:cs="Times New Roman"/>
          <w:sz w:val="24"/>
          <w:szCs w:val="24"/>
        </w:rPr>
        <w:t xml:space="preserve">, </w:t>
      </w:r>
      <w:r w:rsidRPr="00666E71">
        <w:rPr>
          <w:rFonts w:ascii="Times New Roman" w:hAnsi="Times New Roman" w:cs="Times New Roman"/>
          <w:sz w:val="24"/>
          <w:szCs w:val="24"/>
        </w:rPr>
        <w:t>2009)</w:t>
      </w:r>
      <w:r w:rsidRPr="00BD4CFD">
        <w:rPr>
          <w:rFonts w:ascii="Times New Roman" w:hAnsi="Times New Roman" w:cs="Times New Roman"/>
          <w:sz w:val="24"/>
          <w:szCs w:val="24"/>
        </w:rPr>
        <w:t xml:space="preserve"> Ukazatele aktiv, jako je obrat celkových aktiv a obrat zásob, odrážejí efektivnost řízení aktiv podniku. Při posuzování těchto ukazatelů je důležité vzít v úvahu referenční hodnoty specifické pro dané odvětví. A konečně doba obratu pohledávek a doba obratu krátkodobých závazků poskytují přehled o době, kterou společnost potřebuje k inkasu plateb a splacení svých dluhů. </w:t>
      </w:r>
      <w:r w:rsidRPr="00666E71">
        <w:rPr>
          <w:rFonts w:ascii="Times New Roman" w:hAnsi="Times New Roman" w:cs="Times New Roman"/>
          <w:sz w:val="24"/>
          <w:szCs w:val="24"/>
        </w:rPr>
        <w:t>(Blaha &amp; Jindřichovská, 2006)</w:t>
      </w:r>
    </w:p>
    <w:p w14:paraId="453E03F3" w14:textId="2F130FCD" w:rsidR="00A0736B" w:rsidRPr="00A0736B" w:rsidRDefault="00A0736B" w:rsidP="00A0736B">
      <w:pPr>
        <w:spacing w:line="360" w:lineRule="auto"/>
        <w:ind w:firstLine="709"/>
        <w:jc w:val="both"/>
        <w:rPr>
          <w:rFonts w:ascii="Times New Roman" w:hAnsi="Times New Roman" w:cs="Times New Roman"/>
          <w:sz w:val="24"/>
          <w:szCs w:val="24"/>
        </w:rPr>
      </w:pPr>
      <w:r w:rsidRPr="00A0736B">
        <w:rPr>
          <w:rFonts w:ascii="Times New Roman" w:hAnsi="Times New Roman" w:cs="Times New Roman"/>
          <w:sz w:val="24"/>
          <w:szCs w:val="24"/>
        </w:rPr>
        <w:t xml:space="preserve">Ukazatele zadluženosti se používají k hodnocení kapitálové struktury a finanční stability společnosti. Mezi ukazatele zadluženosti </w:t>
      </w:r>
      <w:proofErr w:type="gramStart"/>
      <w:r w:rsidRPr="00A0736B">
        <w:rPr>
          <w:rFonts w:ascii="Times New Roman" w:hAnsi="Times New Roman" w:cs="Times New Roman"/>
          <w:sz w:val="24"/>
          <w:szCs w:val="24"/>
        </w:rPr>
        <w:t>patří</w:t>
      </w:r>
      <w:proofErr w:type="gramEnd"/>
      <w:r w:rsidRPr="00A0736B">
        <w:rPr>
          <w:rFonts w:ascii="Times New Roman" w:hAnsi="Times New Roman" w:cs="Times New Roman"/>
          <w:sz w:val="24"/>
          <w:szCs w:val="24"/>
        </w:rPr>
        <w:t xml:space="preserve"> míra zadluženosti, která měří podíl krátkodobého a </w:t>
      </w:r>
      <w:r w:rsidRPr="00A0736B">
        <w:rPr>
          <w:rFonts w:ascii="Times New Roman" w:hAnsi="Times New Roman" w:cs="Times New Roman"/>
          <w:sz w:val="24"/>
          <w:szCs w:val="24"/>
        </w:rPr>
        <w:lastRenderedPageBreak/>
        <w:t xml:space="preserve">dlouhodobého dluhu na celkových aktivech, a míra vlastního kapitálu, která měří poměr vlastního kapitálu k celkovým aktivům. Ukazatel úrokového krytí </w:t>
      </w:r>
      <w:proofErr w:type="gramStart"/>
      <w:r w:rsidRPr="00A0736B">
        <w:rPr>
          <w:rFonts w:ascii="Times New Roman" w:hAnsi="Times New Roman" w:cs="Times New Roman"/>
          <w:sz w:val="24"/>
          <w:szCs w:val="24"/>
        </w:rPr>
        <w:t>měří</w:t>
      </w:r>
      <w:proofErr w:type="gramEnd"/>
      <w:r w:rsidRPr="00A0736B">
        <w:rPr>
          <w:rFonts w:ascii="Times New Roman" w:hAnsi="Times New Roman" w:cs="Times New Roman"/>
          <w:sz w:val="24"/>
          <w:szCs w:val="24"/>
        </w:rPr>
        <w:t xml:space="preserve"> schopnost společnosti splácet úroky ze svého dluhu.</w:t>
      </w:r>
      <w:r w:rsidRPr="00A0736B">
        <w:rPr>
          <w:rFonts w:ascii="Times New Roman" w:eastAsiaTheme="minorEastAsia" w:hAnsi="Times New Roman" w:cs="Times New Roman"/>
          <w:sz w:val="24"/>
          <w:szCs w:val="24"/>
        </w:rPr>
        <w:t xml:space="preserve"> </w:t>
      </w:r>
      <w:r w:rsidRPr="00666E71">
        <w:rPr>
          <w:rFonts w:ascii="Times New Roman" w:eastAsiaTheme="minorEastAsia" w:hAnsi="Times New Roman" w:cs="Times New Roman"/>
          <w:sz w:val="24"/>
          <w:szCs w:val="24"/>
        </w:rPr>
        <w:t>(Sedláček, 2011)</w:t>
      </w:r>
    </w:p>
    <w:p w14:paraId="16A8587C" w14:textId="79E339A6" w:rsidR="00A0736B" w:rsidRPr="00A0736B" w:rsidRDefault="00A0736B" w:rsidP="00A0736B">
      <w:pPr>
        <w:spacing w:line="360" w:lineRule="auto"/>
        <w:ind w:firstLine="709"/>
        <w:jc w:val="both"/>
        <w:rPr>
          <w:rFonts w:ascii="Times New Roman" w:hAnsi="Times New Roman" w:cs="Times New Roman"/>
          <w:sz w:val="24"/>
          <w:szCs w:val="24"/>
        </w:rPr>
      </w:pPr>
      <w:r w:rsidRPr="00A0736B">
        <w:rPr>
          <w:rFonts w:ascii="Times New Roman" w:hAnsi="Times New Roman" w:cs="Times New Roman"/>
          <w:sz w:val="24"/>
          <w:szCs w:val="24"/>
        </w:rPr>
        <w:t xml:space="preserve">Pomocí ukazatelů rentability se hodnotí efektivnost výrobních činností a zhodnocení investovaného kapitálu. Rentabilita celkového kapitálu (ROA) porovnává zisk s celkovými aktivy, zatímco rentabilita vlastního kapitálu (ROE) vyjadřuje poměr zisku před zdaněním k vlastnímu kapitálu. Rentabilita investovaného kapitálu (ROCE) vyjadřuje efektivnost využití investovaného kapitálu, zatímco rentabilita tržeb (ROS) udává zisk na 1 korunu obratu. </w:t>
      </w:r>
      <w:r w:rsidRPr="00666E71">
        <w:rPr>
          <w:rFonts w:ascii="Times New Roman" w:hAnsi="Times New Roman" w:cs="Times New Roman"/>
          <w:sz w:val="24"/>
          <w:szCs w:val="24"/>
        </w:rPr>
        <w:t>(Marek,2009)</w:t>
      </w:r>
    </w:p>
    <w:p w14:paraId="56529180" w14:textId="29967E63" w:rsidR="00A0736B" w:rsidRDefault="00A0736B" w:rsidP="00A0736B">
      <w:pPr>
        <w:spacing w:line="360" w:lineRule="auto"/>
        <w:ind w:firstLine="709"/>
        <w:jc w:val="both"/>
        <w:rPr>
          <w:rFonts w:ascii="Times New Roman" w:hAnsi="Times New Roman" w:cs="Times New Roman"/>
          <w:sz w:val="24"/>
          <w:szCs w:val="24"/>
        </w:rPr>
      </w:pPr>
      <w:r w:rsidRPr="00A0736B">
        <w:rPr>
          <w:rFonts w:ascii="Times New Roman" w:hAnsi="Times New Roman" w:cs="Times New Roman"/>
          <w:sz w:val="24"/>
          <w:szCs w:val="24"/>
        </w:rPr>
        <w:t xml:space="preserve">Ukazatele tržní hodnoty ukazují poměr ceny akcie k zisku společnosti. Tyto ukazatele jsou nezbytné pro manažery akciové společnosti, aby znali náladu investorů ohledně výkonnosti společnosti a jejich očekávání do budoucna. Pro společnost a potenciální investory je často užitečné sledovat finanční ukazatele, které kombinují účetní cíle a tržní hodnotu. </w:t>
      </w:r>
      <w:r w:rsidRPr="00666E71">
        <w:rPr>
          <w:rFonts w:ascii="Times New Roman" w:hAnsi="Times New Roman" w:cs="Times New Roman"/>
          <w:sz w:val="24"/>
          <w:szCs w:val="24"/>
        </w:rPr>
        <w:t>(Blaha &amp; Jindřichovská, 2006)</w:t>
      </w:r>
    </w:p>
    <w:p w14:paraId="1E3DADF9" w14:textId="2C1DF792" w:rsidR="00F34030" w:rsidRDefault="00F34030" w:rsidP="00A0736B">
      <w:pPr>
        <w:spacing w:line="360" w:lineRule="auto"/>
        <w:ind w:firstLine="709"/>
        <w:jc w:val="both"/>
        <w:rPr>
          <w:rFonts w:ascii="Times New Roman" w:hAnsi="Times New Roman" w:cs="Times New Roman"/>
          <w:sz w:val="24"/>
          <w:szCs w:val="24"/>
        </w:rPr>
      </w:pPr>
      <w:r w:rsidRPr="00F34030">
        <w:rPr>
          <w:rFonts w:ascii="Times New Roman" w:hAnsi="Times New Roman" w:cs="Times New Roman"/>
          <w:sz w:val="24"/>
          <w:szCs w:val="24"/>
        </w:rPr>
        <w:t>Systémy poměrových ukazatelů analyzují vzájemné závislosti mezi finančními ukazateli a poskytují náhled na finanční zdraví společnosti.</w:t>
      </w:r>
      <w:r w:rsidRPr="00F34030">
        <w:rPr>
          <w:rFonts w:ascii="Times New Roman" w:eastAsiaTheme="minorEastAsia" w:hAnsi="Times New Roman" w:cs="Times New Roman"/>
          <w:iCs/>
          <w:sz w:val="24"/>
          <w:szCs w:val="24"/>
        </w:rPr>
        <w:t xml:space="preserve"> </w:t>
      </w:r>
      <w:r w:rsidRPr="00666E71">
        <w:rPr>
          <w:rFonts w:ascii="Times New Roman" w:eastAsiaTheme="minorEastAsia" w:hAnsi="Times New Roman" w:cs="Times New Roman"/>
          <w:iCs/>
          <w:sz w:val="24"/>
          <w:szCs w:val="24"/>
        </w:rPr>
        <w:t xml:space="preserve">Jedním z takových ukazatelů je </w:t>
      </w:r>
      <w:proofErr w:type="spellStart"/>
      <w:r w:rsidRPr="00666E71">
        <w:rPr>
          <w:rFonts w:ascii="Times New Roman" w:eastAsiaTheme="minorEastAsia" w:hAnsi="Times New Roman" w:cs="Times New Roman"/>
          <w:iCs/>
          <w:sz w:val="24"/>
          <w:szCs w:val="24"/>
        </w:rPr>
        <w:t>Du</w:t>
      </w:r>
      <w:proofErr w:type="spellEnd"/>
      <w:r w:rsidRPr="00666E71">
        <w:rPr>
          <w:rFonts w:ascii="Times New Roman" w:eastAsiaTheme="minorEastAsia" w:hAnsi="Times New Roman" w:cs="Times New Roman"/>
          <w:iCs/>
          <w:sz w:val="24"/>
          <w:szCs w:val="24"/>
        </w:rPr>
        <w:t xml:space="preserve"> </w:t>
      </w:r>
      <w:proofErr w:type="spellStart"/>
      <w:r w:rsidRPr="00666E71">
        <w:rPr>
          <w:rFonts w:ascii="Times New Roman" w:eastAsiaTheme="minorEastAsia" w:hAnsi="Times New Roman" w:cs="Times New Roman"/>
          <w:iCs/>
          <w:sz w:val="24"/>
          <w:szCs w:val="24"/>
        </w:rPr>
        <w:t>Pontův</w:t>
      </w:r>
      <w:proofErr w:type="spellEnd"/>
      <w:r w:rsidRPr="00666E71">
        <w:rPr>
          <w:rFonts w:ascii="Times New Roman" w:eastAsiaTheme="minorEastAsia" w:hAnsi="Times New Roman" w:cs="Times New Roman"/>
          <w:iCs/>
          <w:sz w:val="24"/>
          <w:szCs w:val="24"/>
        </w:rPr>
        <w:t xml:space="preserve"> diagram, který rozkládá ukazatel ROE. </w:t>
      </w:r>
      <w:r w:rsidRPr="00F34030">
        <w:rPr>
          <w:rFonts w:ascii="Times New Roman" w:hAnsi="Times New Roman" w:cs="Times New Roman"/>
          <w:sz w:val="24"/>
          <w:szCs w:val="24"/>
        </w:rPr>
        <w:t xml:space="preserve"> </w:t>
      </w:r>
      <w:r w:rsidRPr="00666E71">
        <w:rPr>
          <w:rFonts w:ascii="Times New Roman" w:eastAsiaTheme="minorEastAsia" w:hAnsi="Times New Roman" w:cs="Times New Roman"/>
          <w:sz w:val="24"/>
          <w:szCs w:val="24"/>
        </w:rPr>
        <w:t>(Sedláček, 2011)</w:t>
      </w:r>
    </w:p>
    <w:p w14:paraId="24629DBA" w14:textId="33B3DECC" w:rsidR="00B41824" w:rsidRPr="00B41824" w:rsidRDefault="00B41824" w:rsidP="00B41824">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P</w:t>
      </w:r>
      <w:r w:rsidRPr="00B41824">
        <w:rPr>
          <w:rFonts w:ascii="Times New Roman" w:hAnsi="Times New Roman" w:cs="Times New Roman"/>
          <w:sz w:val="24"/>
          <w:szCs w:val="24"/>
        </w:rPr>
        <w:t>redikční modely jsou užitečné pro posouzení finančního zdraví společnosti a předpověď pravděpodobnosti finančních potíží nebo úpadku. V České republice se běžně používají Altmanův model, IN indexy</w:t>
      </w:r>
      <w:r>
        <w:rPr>
          <w:rFonts w:ascii="Times New Roman" w:hAnsi="Times New Roman" w:cs="Times New Roman"/>
          <w:sz w:val="24"/>
          <w:szCs w:val="24"/>
        </w:rPr>
        <w:t>,</w:t>
      </w:r>
      <w:r w:rsidRPr="00B41824">
        <w:rPr>
          <w:rFonts w:ascii="Times New Roman" w:hAnsi="Times New Roman" w:cs="Times New Roman"/>
          <w:sz w:val="24"/>
          <w:szCs w:val="24"/>
        </w:rPr>
        <w:t xml:space="preserve"> </w:t>
      </w:r>
      <w:proofErr w:type="spellStart"/>
      <w:r w:rsidRPr="00B41824">
        <w:rPr>
          <w:rFonts w:ascii="Times New Roman" w:hAnsi="Times New Roman" w:cs="Times New Roman"/>
          <w:sz w:val="24"/>
          <w:szCs w:val="24"/>
        </w:rPr>
        <w:t>Tafflerův</w:t>
      </w:r>
      <w:proofErr w:type="spellEnd"/>
      <w:r w:rsidRPr="00B41824">
        <w:rPr>
          <w:rFonts w:ascii="Times New Roman" w:hAnsi="Times New Roman" w:cs="Times New Roman"/>
          <w:sz w:val="24"/>
          <w:szCs w:val="24"/>
        </w:rPr>
        <w:t xml:space="preserve"> model</w:t>
      </w:r>
      <w:r>
        <w:rPr>
          <w:rFonts w:ascii="Times New Roman" w:hAnsi="Times New Roman" w:cs="Times New Roman"/>
          <w:sz w:val="24"/>
          <w:szCs w:val="24"/>
        </w:rPr>
        <w:t xml:space="preserve"> a</w:t>
      </w:r>
      <w:r w:rsidRPr="00B41824">
        <w:rPr>
          <w:rFonts w:ascii="Times New Roman" w:hAnsi="Times New Roman" w:cs="Times New Roman"/>
          <w:sz w:val="24"/>
          <w:szCs w:val="24"/>
        </w:rPr>
        <w:t xml:space="preserve"> </w:t>
      </w:r>
      <w:proofErr w:type="spellStart"/>
      <w:r w:rsidRPr="00B41824">
        <w:rPr>
          <w:rFonts w:ascii="Times New Roman" w:hAnsi="Times New Roman" w:cs="Times New Roman"/>
          <w:sz w:val="24"/>
          <w:szCs w:val="24"/>
        </w:rPr>
        <w:t>Kralickův</w:t>
      </w:r>
      <w:proofErr w:type="spellEnd"/>
      <w:r w:rsidRPr="00B41824">
        <w:rPr>
          <w:rFonts w:ascii="Times New Roman" w:hAnsi="Times New Roman" w:cs="Times New Roman"/>
          <w:sz w:val="24"/>
          <w:szCs w:val="24"/>
        </w:rPr>
        <w:t xml:space="preserve"> </w:t>
      </w:r>
      <w:proofErr w:type="spellStart"/>
      <w:r w:rsidRPr="00B41824">
        <w:rPr>
          <w:rFonts w:ascii="Times New Roman" w:hAnsi="Times New Roman" w:cs="Times New Roman"/>
          <w:sz w:val="24"/>
          <w:szCs w:val="24"/>
        </w:rPr>
        <w:t>Quicktest</w:t>
      </w:r>
      <w:proofErr w:type="spellEnd"/>
      <w:r>
        <w:rPr>
          <w:rFonts w:ascii="Times New Roman" w:hAnsi="Times New Roman" w:cs="Times New Roman"/>
          <w:sz w:val="24"/>
          <w:szCs w:val="24"/>
        </w:rPr>
        <w:t>, který</w:t>
      </w:r>
      <w:r w:rsidRPr="00B41824">
        <w:rPr>
          <w:rFonts w:ascii="Times New Roman" w:hAnsi="Times New Roman" w:cs="Times New Roman"/>
          <w:sz w:val="24"/>
          <w:szCs w:val="24"/>
        </w:rPr>
        <w:t xml:space="preserve"> </w:t>
      </w:r>
      <w:r>
        <w:rPr>
          <w:rFonts w:ascii="Times New Roman" w:hAnsi="Times New Roman" w:cs="Times New Roman"/>
          <w:sz w:val="24"/>
          <w:szCs w:val="24"/>
        </w:rPr>
        <w:t xml:space="preserve">se </w:t>
      </w:r>
      <w:r w:rsidRPr="00B41824">
        <w:rPr>
          <w:rFonts w:ascii="Times New Roman" w:hAnsi="Times New Roman" w:cs="Times New Roman"/>
          <w:sz w:val="24"/>
          <w:szCs w:val="24"/>
        </w:rPr>
        <w:t>použív</w:t>
      </w:r>
      <w:r>
        <w:rPr>
          <w:rFonts w:ascii="Times New Roman" w:hAnsi="Times New Roman" w:cs="Times New Roman"/>
          <w:sz w:val="24"/>
          <w:szCs w:val="24"/>
        </w:rPr>
        <w:t>á</w:t>
      </w:r>
      <w:r w:rsidRPr="00B41824">
        <w:rPr>
          <w:rFonts w:ascii="Times New Roman" w:hAnsi="Times New Roman" w:cs="Times New Roman"/>
          <w:sz w:val="24"/>
          <w:szCs w:val="24"/>
        </w:rPr>
        <w:t xml:space="preserve"> pro hodnocení bonity.</w:t>
      </w:r>
      <w:r w:rsidRPr="00B41824">
        <w:t xml:space="preserve"> </w:t>
      </w:r>
      <w:r w:rsidRPr="00B41824">
        <w:rPr>
          <w:rFonts w:ascii="Times New Roman" w:hAnsi="Times New Roman" w:cs="Times New Roman"/>
          <w:sz w:val="24"/>
          <w:szCs w:val="24"/>
        </w:rPr>
        <w:t>(Sedláček, 2011)</w:t>
      </w:r>
    </w:p>
    <w:p w14:paraId="01C060DA" w14:textId="6A2C00EB" w:rsidR="00B41824" w:rsidRPr="00B41824" w:rsidRDefault="00B41824" w:rsidP="00B41824">
      <w:pPr>
        <w:spacing w:line="360" w:lineRule="auto"/>
        <w:ind w:firstLine="709"/>
        <w:jc w:val="both"/>
        <w:rPr>
          <w:rFonts w:ascii="Times New Roman" w:hAnsi="Times New Roman" w:cs="Times New Roman"/>
          <w:sz w:val="24"/>
          <w:szCs w:val="24"/>
        </w:rPr>
      </w:pPr>
      <w:r w:rsidRPr="00B41824">
        <w:rPr>
          <w:rFonts w:ascii="Times New Roman" w:hAnsi="Times New Roman" w:cs="Times New Roman"/>
          <w:sz w:val="24"/>
          <w:szCs w:val="24"/>
        </w:rPr>
        <w:t>Altmanův model má několik variant a používá různé koeficienty pro společnosti kótované na burze a pro společnosti nekótované na burze. (Marek, 2009)</w:t>
      </w:r>
      <w:r w:rsidRPr="00B41824">
        <w:t xml:space="preserve"> </w:t>
      </w:r>
      <w:r w:rsidRPr="00B41824">
        <w:rPr>
          <w:rFonts w:ascii="Times New Roman" w:hAnsi="Times New Roman" w:cs="Times New Roman"/>
          <w:sz w:val="24"/>
          <w:szCs w:val="24"/>
        </w:rPr>
        <w:t xml:space="preserve">Indexy IN jsou konstruovány pomocí poměrů vynásobených koeficienty v závislosti na odvětví ekonomiky a poslední index je aktualizací předchozího indexu na základě nových údajů. </w:t>
      </w:r>
      <w:proofErr w:type="spellStart"/>
      <w:r w:rsidRPr="00B41824">
        <w:rPr>
          <w:rFonts w:ascii="Times New Roman" w:hAnsi="Times New Roman" w:cs="Times New Roman"/>
          <w:sz w:val="24"/>
          <w:szCs w:val="24"/>
        </w:rPr>
        <w:t>Tafflerův</w:t>
      </w:r>
      <w:proofErr w:type="spellEnd"/>
      <w:r w:rsidRPr="00B41824">
        <w:rPr>
          <w:rFonts w:ascii="Times New Roman" w:hAnsi="Times New Roman" w:cs="Times New Roman"/>
          <w:sz w:val="24"/>
          <w:szCs w:val="24"/>
        </w:rPr>
        <w:t xml:space="preserve"> model používá k posouzení pravděpodobnosti úpadku čtyři ukazatele, včetně zisku před zdaněním a oběžných aktiv.</w:t>
      </w:r>
      <w:r w:rsidRPr="00B41824">
        <w:t xml:space="preserve"> </w:t>
      </w:r>
      <w:r w:rsidRPr="00B41824">
        <w:rPr>
          <w:rFonts w:ascii="Times New Roman" w:hAnsi="Times New Roman" w:cs="Times New Roman"/>
          <w:sz w:val="24"/>
          <w:szCs w:val="24"/>
        </w:rPr>
        <w:t>(</w:t>
      </w:r>
      <w:proofErr w:type="spellStart"/>
      <w:r w:rsidRPr="00B41824">
        <w:rPr>
          <w:rFonts w:ascii="Times New Roman" w:hAnsi="Times New Roman" w:cs="Times New Roman"/>
          <w:sz w:val="24"/>
          <w:szCs w:val="24"/>
        </w:rPr>
        <w:t>Růčková</w:t>
      </w:r>
      <w:proofErr w:type="spellEnd"/>
      <w:r w:rsidRPr="00B41824">
        <w:rPr>
          <w:rFonts w:ascii="Times New Roman" w:hAnsi="Times New Roman" w:cs="Times New Roman"/>
          <w:sz w:val="24"/>
          <w:szCs w:val="24"/>
        </w:rPr>
        <w:t>, 2015)</w:t>
      </w:r>
    </w:p>
    <w:p w14:paraId="1A3D66AF" w14:textId="4098FB0D" w:rsidR="00B41824" w:rsidRDefault="00B41824" w:rsidP="00CF4C10">
      <w:pPr>
        <w:spacing w:line="360" w:lineRule="auto"/>
        <w:ind w:firstLine="709"/>
        <w:jc w:val="both"/>
        <w:rPr>
          <w:rFonts w:ascii="Times New Roman" w:hAnsi="Times New Roman" w:cs="Times New Roman"/>
          <w:sz w:val="24"/>
          <w:szCs w:val="24"/>
        </w:rPr>
      </w:pPr>
      <w:proofErr w:type="spellStart"/>
      <w:r w:rsidRPr="00B41824">
        <w:rPr>
          <w:rFonts w:ascii="Times New Roman" w:hAnsi="Times New Roman" w:cs="Times New Roman"/>
          <w:sz w:val="24"/>
          <w:szCs w:val="24"/>
        </w:rPr>
        <w:t>Kralickův</w:t>
      </w:r>
      <w:proofErr w:type="spellEnd"/>
      <w:r w:rsidRPr="00B41824">
        <w:rPr>
          <w:rFonts w:ascii="Times New Roman" w:hAnsi="Times New Roman" w:cs="Times New Roman"/>
          <w:sz w:val="24"/>
          <w:szCs w:val="24"/>
        </w:rPr>
        <w:t xml:space="preserve"> </w:t>
      </w:r>
      <w:proofErr w:type="spellStart"/>
      <w:r w:rsidRPr="00B41824">
        <w:rPr>
          <w:rFonts w:ascii="Times New Roman" w:hAnsi="Times New Roman" w:cs="Times New Roman"/>
          <w:sz w:val="24"/>
          <w:szCs w:val="24"/>
        </w:rPr>
        <w:t>Quicktest</w:t>
      </w:r>
      <w:proofErr w:type="spellEnd"/>
      <w:r w:rsidRPr="00B41824">
        <w:rPr>
          <w:rFonts w:ascii="Times New Roman" w:hAnsi="Times New Roman" w:cs="Times New Roman"/>
          <w:sz w:val="24"/>
          <w:szCs w:val="24"/>
        </w:rPr>
        <w:t xml:space="preserve"> používá k hodnocení úvěruschopnosti čtyři individuální ukazatele zadluženosti, likvidity, ziskovosti a zisku. Hodnoty ukazatelů se vypočítají a obodují podle tabulky a vypočítá se aritmetický průměr všech skóre. Skóre vyšší než 3 znamená, že společnost je úvěruschopná, skóre mezi 1 a 3 představuje šedou zónu a skóre 1 nebo nižší znamená, že společnost není finančně zdravá. </w:t>
      </w:r>
      <w:r w:rsidRPr="00666E71">
        <w:rPr>
          <w:rFonts w:ascii="Times New Roman" w:hAnsi="Times New Roman" w:cs="Times New Roman"/>
          <w:sz w:val="24"/>
          <w:szCs w:val="24"/>
        </w:rPr>
        <w:t>(Grünwald &amp; Holečková, 2007)</w:t>
      </w:r>
      <w:r w:rsidR="00CF4C10">
        <w:rPr>
          <w:rFonts w:ascii="Times New Roman" w:hAnsi="Times New Roman" w:cs="Times New Roman"/>
          <w:sz w:val="24"/>
          <w:szCs w:val="24"/>
        </w:rPr>
        <w:br w:type="page"/>
      </w:r>
    </w:p>
    <w:p w14:paraId="1A87382C" w14:textId="5ECF6B41" w:rsidR="00C56A10" w:rsidRDefault="00C56A10" w:rsidP="00F34030">
      <w:pPr>
        <w:pStyle w:val="Nadpis1"/>
      </w:pPr>
      <w:r>
        <w:lastRenderedPageBreak/>
        <w:t>Cíl práce</w:t>
      </w:r>
    </w:p>
    <w:p w14:paraId="401EA805" w14:textId="6E7AF436" w:rsidR="00C56A10" w:rsidRDefault="00C56A10" w:rsidP="00EB2015">
      <w:pPr>
        <w:pStyle w:val="Zkladntextodsazen"/>
        <w:ind w:left="0"/>
        <w:jc w:val="both"/>
      </w:pPr>
    </w:p>
    <w:p w14:paraId="4676353D" w14:textId="5B4C086B" w:rsidR="00C56A10" w:rsidRPr="00EB2015" w:rsidRDefault="00F07452" w:rsidP="00EB2015">
      <w:pPr>
        <w:spacing w:line="360" w:lineRule="auto"/>
        <w:ind w:firstLine="709"/>
        <w:jc w:val="both"/>
        <w:rPr>
          <w:rFonts w:ascii="Times New Roman" w:hAnsi="Times New Roman" w:cs="Times New Roman"/>
          <w:sz w:val="24"/>
          <w:szCs w:val="24"/>
        </w:rPr>
      </w:pPr>
      <w:r w:rsidRPr="00F07452">
        <w:rPr>
          <w:rFonts w:ascii="Times New Roman" w:hAnsi="Times New Roman" w:cs="Times New Roman"/>
          <w:sz w:val="24"/>
          <w:szCs w:val="24"/>
        </w:rPr>
        <w:t>Cílem bakalářské práce je vytvořit systém finanční analýzy pro českou výrobní společnost Mlékárna Kunín, s.r.o.</w:t>
      </w:r>
      <w:r w:rsidR="00447995" w:rsidRPr="00447995">
        <w:rPr>
          <w:rFonts w:ascii="Times New Roman" w:hAnsi="Times New Roman" w:cs="Times New Roman"/>
          <w:sz w:val="24"/>
          <w:szCs w:val="24"/>
        </w:rPr>
        <w:t xml:space="preserve"> Vybrané ukazatele a oceňovací modely byly přizpůsobeny charakteristice společnosti. Data pro analýzu byla získána z výročních zpráv v letech 2017 až 2021 na portálu justice.cz, které obsahují účetní závěrky a zprávy auditora.</w:t>
      </w:r>
    </w:p>
    <w:p w14:paraId="3FE53050" w14:textId="5A1B4C2A" w:rsidR="00C56A10" w:rsidRDefault="00C56A10" w:rsidP="00C56A10">
      <w:pPr>
        <w:pStyle w:val="Nadpis1"/>
      </w:pPr>
      <w:r>
        <w:t>Metodika</w:t>
      </w:r>
    </w:p>
    <w:p w14:paraId="6445D567" w14:textId="77777777" w:rsidR="00D433F4" w:rsidRPr="00D433F4" w:rsidRDefault="00D433F4" w:rsidP="00D433F4">
      <w:pPr>
        <w:rPr>
          <w:lang w:eastAsia="cs-CZ"/>
        </w:rPr>
      </w:pPr>
    </w:p>
    <w:p w14:paraId="470A72E7" w14:textId="764710D8" w:rsidR="0040018C" w:rsidRPr="00D433F4" w:rsidRDefault="0040018C" w:rsidP="00D433F4">
      <w:pPr>
        <w:spacing w:line="360" w:lineRule="auto"/>
        <w:ind w:firstLine="709"/>
        <w:jc w:val="both"/>
        <w:rPr>
          <w:rFonts w:ascii="Times New Roman" w:hAnsi="Times New Roman" w:cs="Times New Roman"/>
          <w:sz w:val="24"/>
          <w:szCs w:val="24"/>
        </w:rPr>
      </w:pPr>
      <w:r w:rsidRPr="00D433F4">
        <w:rPr>
          <w:rFonts w:ascii="Times New Roman" w:hAnsi="Times New Roman" w:cs="Times New Roman"/>
          <w:sz w:val="24"/>
          <w:szCs w:val="24"/>
        </w:rPr>
        <w:t xml:space="preserve">Tento systém se skládá především z klasické analýzy finančních ukazatelů a predikčních modelů. Finanční ukazatele </w:t>
      </w:r>
      <w:r w:rsidR="00921670">
        <w:rPr>
          <w:rFonts w:ascii="Times New Roman" w:hAnsi="Times New Roman" w:cs="Times New Roman"/>
          <w:sz w:val="24"/>
          <w:szCs w:val="24"/>
        </w:rPr>
        <w:t>byly</w:t>
      </w:r>
      <w:r w:rsidRPr="00D433F4">
        <w:rPr>
          <w:rFonts w:ascii="Times New Roman" w:hAnsi="Times New Roman" w:cs="Times New Roman"/>
          <w:sz w:val="24"/>
          <w:szCs w:val="24"/>
        </w:rPr>
        <w:t xml:space="preserve"> porovnávány v čase s cílem určit trend vývoje společnosti. Hodnocení však odráží nejen vývoj společnosti, ale zohledňuje také vývoj odvětví a vliv vnějších faktorů. Potřeba hodnocení odvětví spočívá v tom, že v odvětví existuje významný trend vývoje se silným vlivem vnějších faktorů. Posouzení se </w:t>
      </w:r>
      <w:r w:rsidR="00921670">
        <w:rPr>
          <w:rFonts w:ascii="Times New Roman" w:hAnsi="Times New Roman" w:cs="Times New Roman"/>
          <w:sz w:val="24"/>
          <w:szCs w:val="24"/>
        </w:rPr>
        <w:t>provádělo</w:t>
      </w:r>
      <w:r w:rsidRPr="00D433F4">
        <w:rPr>
          <w:rFonts w:ascii="Times New Roman" w:hAnsi="Times New Roman" w:cs="Times New Roman"/>
          <w:sz w:val="24"/>
          <w:szCs w:val="24"/>
        </w:rPr>
        <w:t xml:space="preserve"> také ve vztahu k ostatním společnostem v odvětví, přičemž srovnávání se provádí dvěma způsoby v závislosti na konkrétním případu:</w:t>
      </w:r>
    </w:p>
    <w:p w14:paraId="61EC50C3" w14:textId="6308F4DF" w:rsidR="0040018C" w:rsidRPr="00022942" w:rsidRDefault="0040018C" w:rsidP="00022942">
      <w:pPr>
        <w:pStyle w:val="Odstavecseseznamem"/>
        <w:numPr>
          <w:ilvl w:val="0"/>
          <w:numId w:val="7"/>
        </w:numPr>
        <w:spacing w:line="360" w:lineRule="auto"/>
        <w:jc w:val="both"/>
        <w:rPr>
          <w:rFonts w:ascii="Times New Roman" w:hAnsi="Times New Roman" w:cs="Times New Roman"/>
          <w:sz w:val="24"/>
          <w:szCs w:val="24"/>
        </w:rPr>
      </w:pPr>
      <w:r w:rsidRPr="00022942">
        <w:rPr>
          <w:rFonts w:ascii="Times New Roman" w:hAnsi="Times New Roman" w:cs="Times New Roman"/>
          <w:sz w:val="24"/>
          <w:szCs w:val="24"/>
        </w:rPr>
        <w:t>Výkonnost hlavní analyzované společnosti, konkrétně společnosti „Mlékárna Kunín s.r.o.“, byla porovnána s výkonností jedné nebo více konkurenčních společností.</w:t>
      </w:r>
    </w:p>
    <w:p w14:paraId="41E3296C" w14:textId="6951F37C" w:rsidR="0040018C" w:rsidRPr="00022942" w:rsidRDefault="0040018C" w:rsidP="00022942">
      <w:pPr>
        <w:pStyle w:val="Odstavecseseznamem"/>
        <w:numPr>
          <w:ilvl w:val="0"/>
          <w:numId w:val="7"/>
        </w:numPr>
        <w:spacing w:line="360" w:lineRule="auto"/>
        <w:jc w:val="both"/>
        <w:rPr>
          <w:rFonts w:ascii="Times New Roman" w:hAnsi="Times New Roman" w:cs="Times New Roman"/>
          <w:sz w:val="24"/>
          <w:szCs w:val="24"/>
        </w:rPr>
      </w:pPr>
      <w:r w:rsidRPr="00022942">
        <w:rPr>
          <w:rFonts w:ascii="Times New Roman" w:hAnsi="Times New Roman" w:cs="Times New Roman"/>
          <w:sz w:val="24"/>
          <w:szCs w:val="24"/>
        </w:rPr>
        <w:t>Výkonnost podniku byla porovnána s průměrem odvětví, které pět vybraných</w:t>
      </w:r>
      <w:r w:rsidR="00022942" w:rsidRPr="00022942">
        <w:rPr>
          <w:rFonts w:ascii="Times New Roman" w:hAnsi="Times New Roman" w:cs="Times New Roman"/>
          <w:sz w:val="24"/>
          <w:szCs w:val="24"/>
        </w:rPr>
        <w:t xml:space="preserve"> </w:t>
      </w:r>
      <w:r w:rsidRPr="00022942">
        <w:rPr>
          <w:rFonts w:ascii="Times New Roman" w:hAnsi="Times New Roman" w:cs="Times New Roman"/>
          <w:sz w:val="24"/>
          <w:szCs w:val="24"/>
        </w:rPr>
        <w:t>podniků reprezentuje. Jinými slovy, byla použita průměrná hodnota, která byla zjištěna součtem výsledků pro konkrétní ukazatel za rok a vydělením součtu počtem zvolených podniků.</w:t>
      </w:r>
    </w:p>
    <w:p w14:paraId="1EE39B9D" w14:textId="3E3F48EA" w:rsidR="00447995" w:rsidRPr="00447995" w:rsidRDefault="00447995" w:rsidP="00447995">
      <w:pPr>
        <w:spacing w:line="360" w:lineRule="auto"/>
        <w:ind w:firstLine="709"/>
        <w:jc w:val="both"/>
        <w:rPr>
          <w:rFonts w:ascii="Times New Roman" w:hAnsi="Times New Roman" w:cs="Times New Roman"/>
          <w:sz w:val="24"/>
          <w:szCs w:val="24"/>
        </w:rPr>
      </w:pPr>
      <w:r w:rsidRPr="00171479">
        <w:rPr>
          <w:rFonts w:ascii="Times New Roman" w:hAnsi="Times New Roman" w:cs="Times New Roman"/>
          <w:sz w:val="24"/>
          <w:szCs w:val="24"/>
        </w:rPr>
        <w:t>Jako srovnávací podniky byly zvoleny tyto:</w:t>
      </w:r>
      <w:r>
        <w:rPr>
          <w:rFonts w:ascii="Times New Roman" w:hAnsi="Times New Roman" w:cs="Times New Roman"/>
          <w:sz w:val="24"/>
          <w:szCs w:val="24"/>
        </w:rPr>
        <w:t xml:space="preserve"> </w:t>
      </w:r>
      <w:r w:rsidRPr="00447995">
        <w:rPr>
          <w:rFonts w:ascii="Times New Roman" w:hAnsi="Times New Roman" w:cs="Times New Roman"/>
          <w:sz w:val="24"/>
          <w:szCs w:val="24"/>
        </w:rPr>
        <w:t>Madeta a. s.</w:t>
      </w:r>
      <w:r>
        <w:rPr>
          <w:rFonts w:ascii="Times New Roman" w:hAnsi="Times New Roman" w:cs="Times New Roman"/>
          <w:sz w:val="24"/>
          <w:szCs w:val="24"/>
        </w:rPr>
        <w:t xml:space="preserve">, </w:t>
      </w:r>
      <w:r w:rsidRPr="00447995">
        <w:rPr>
          <w:rFonts w:ascii="Times New Roman" w:hAnsi="Times New Roman" w:cs="Times New Roman"/>
          <w:sz w:val="24"/>
          <w:szCs w:val="24"/>
        </w:rPr>
        <w:t xml:space="preserve">Moravia </w:t>
      </w:r>
      <w:proofErr w:type="spellStart"/>
      <w:r w:rsidRPr="00447995">
        <w:rPr>
          <w:rFonts w:ascii="Times New Roman" w:hAnsi="Times New Roman" w:cs="Times New Roman"/>
          <w:sz w:val="24"/>
          <w:szCs w:val="24"/>
        </w:rPr>
        <w:t>Lacto</w:t>
      </w:r>
      <w:proofErr w:type="spellEnd"/>
      <w:r w:rsidRPr="00447995">
        <w:rPr>
          <w:rFonts w:ascii="Times New Roman" w:hAnsi="Times New Roman" w:cs="Times New Roman"/>
          <w:sz w:val="24"/>
          <w:szCs w:val="24"/>
        </w:rPr>
        <w:t xml:space="preserve"> a.s.</w:t>
      </w:r>
      <w:r>
        <w:rPr>
          <w:rFonts w:ascii="Times New Roman" w:hAnsi="Times New Roman" w:cs="Times New Roman"/>
          <w:sz w:val="24"/>
          <w:szCs w:val="24"/>
        </w:rPr>
        <w:t xml:space="preserve">, </w:t>
      </w:r>
      <w:r w:rsidRPr="00447995">
        <w:rPr>
          <w:rFonts w:ascii="Times New Roman" w:hAnsi="Times New Roman" w:cs="Times New Roman"/>
          <w:sz w:val="24"/>
          <w:szCs w:val="24"/>
        </w:rPr>
        <w:t>OLMA, a.s.</w:t>
      </w:r>
      <w:r>
        <w:rPr>
          <w:rFonts w:ascii="Times New Roman" w:hAnsi="Times New Roman" w:cs="Times New Roman"/>
          <w:sz w:val="24"/>
          <w:szCs w:val="24"/>
        </w:rPr>
        <w:t xml:space="preserve">, </w:t>
      </w:r>
      <w:r w:rsidRPr="00447995">
        <w:rPr>
          <w:rFonts w:ascii="Times New Roman" w:hAnsi="Times New Roman" w:cs="Times New Roman"/>
          <w:sz w:val="24"/>
          <w:szCs w:val="24"/>
        </w:rPr>
        <w:t>Mlékárna Hlinsko, a.s.</w:t>
      </w:r>
      <w:r>
        <w:rPr>
          <w:rFonts w:ascii="Times New Roman" w:hAnsi="Times New Roman" w:cs="Times New Roman"/>
          <w:sz w:val="24"/>
          <w:szCs w:val="24"/>
        </w:rPr>
        <w:t xml:space="preserve"> a </w:t>
      </w:r>
      <w:r w:rsidRPr="00447995">
        <w:rPr>
          <w:rFonts w:ascii="Times New Roman" w:hAnsi="Times New Roman" w:cs="Times New Roman"/>
          <w:sz w:val="24"/>
          <w:szCs w:val="24"/>
        </w:rPr>
        <w:t>Polabské mlékárny, a.s.</w:t>
      </w:r>
    </w:p>
    <w:p w14:paraId="529764A3" w14:textId="77777777" w:rsidR="00652334" w:rsidRPr="00652334" w:rsidRDefault="00652334" w:rsidP="00652334">
      <w:pPr>
        <w:spacing w:line="360" w:lineRule="auto"/>
        <w:ind w:firstLine="709"/>
        <w:jc w:val="both"/>
        <w:rPr>
          <w:rFonts w:ascii="Times New Roman" w:hAnsi="Times New Roman" w:cs="Times New Roman"/>
          <w:sz w:val="24"/>
          <w:szCs w:val="24"/>
        </w:rPr>
      </w:pPr>
      <w:r w:rsidRPr="00652334">
        <w:rPr>
          <w:rFonts w:ascii="Times New Roman" w:hAnsi="Times New Roman" w:cs="Times New Roman"/>
          <w:sz w:val="24"/>
          <w:szCs w:val="24"/>
        </w:rPr>
        <w:t>Systém finančního hodnocení zahrnuje horizontální a vertikální analýzu rozvahy a výkazu zisku a ztráty společnosti "Mlékárna Kunín s.r.o." za roky 2017 až 2021. Základem pro výpočet vertikální analýzy byla celková aktiva pro rozvahu a tržby za prodej zboží a služeb a tržby za prodej zboží pro výkaz zisku a ztráty.</w:t>
      </w:r>
    </w:p>
    <w:p w14:paraId="14FCA326" w14:textId="77777777" w:rsidR="00652334" w:rsidRPr="00652334" w:rsidRDefault="00652334" w:rsidP="00652334">
      <w:pPr>
        <w:spacing w:line="360" w:lineRule="auto"/>
        <w:ind w:firstLine="709"/>
        <w:jc w:val="both"/>
        <w:rPr>
          <w:rFonts w:ascii="Times New Roman" w:hAnsi="Times New Roman" w:cs="Times New Roman"/>
          <w:sz w:val="24"/>
          <w:szCs w:val="24"/>
        </w:rPr>
      </w:pPr>
      <w:r w:rsidRPr="00652334">
        <w:rPr>
          <w:rFonts w:ascii="Times New Roman" w:hAnsi="Times New Roman" w:cs="Times New Roman"/>
          <w:sz w:val="24"/>
          <w:szCs w:val="24"/>
        </w:rPr>
        <w:t xml:space="preserve">Pro zjištění efektivnosti vložených zdrojů a jejich využití byly vypočteny ukazatele rentability, zahrnující rentabilitu kapitálu, aktiv, tržeb a rentabilitu investovaného kapitálu. K určení faktorů ovlivňujících zvýšení nebo snížení ROE a ROA byl použit </w:t>
      </w:r>
      <w:proofErr w:type="spellStart"/>
      <w:r w:rsidRPr="00652334">
        <w:rPr>
          <w:rFonts w:ascii="Times New Roman" w:hAnsi="Times New Roman" w:cs="Times New Roman"/>
          <w:sz w:val="24"/>
          <w:szCs w:val="24"/>
        </w:rPr>
        <w:t>Du</w:t>
      </w:r>
      <w:proofErr w:type="spellEnd"/>
      <w:r w:rsidRPr="00652334">
        <w:rPr>
          <w:rFonts w:ascii="Times New Roman" w:hAnsi="Times New Roman" w:cs="Times New Roman"/>
          <w:sz w:val="24"/>
          <w:szCs w:val="24"/>
        </w:rPr>
        <w:t xml:space="preserve"> </w:t>
      </w:r>
      <w:proofErr w:type="spellStart"/>
      <w:r w:rsidRPr="00652334">
        <w:rPr>
          <w:rFonts w:ascii="Times New Roman" w:hAnsi="Times New Roman" w:cs="Times New Roman"/>
          <w:sz w:val="24"/>
          <w:szCs w:val="24"/>
        </w:rPr>
        <w:t>Pontův</w:t>
      </w:r>
      <w:proofErr w:type="spellEnd"/>
      <w:r w:rsidRPr="00652334">
        <w:rPr>
          <w:rFonts w:ascii="Times New Roman" w:hAnsi="Times New Roman" w:cs="Times New Roman"/>
          <w:sz w:val="24"/>
          <w:szCs w:val="24"/>
        </w:rPr>
        <w:t xml:space="preserve"> vzorec. Pro výpočet byly použity tři klíčové ukazatele ovlivňující ROE: zisková marže, obrat aktiv a finanční páka.</w:t>
      </w:r>
    </w:p>
    <w:p w14:paraId="35129869" w14:textId="0E119EF3" w:rsidR="00447995" w:rsidRDefault="00652334" w:rsidP="00652334">
      <w:pPr>
        <w:spacing w:line="360" w:lineRule="auto"/>
        <w:ind w:firstLine="709"/>
        <w:jc w:val="both"/>
        <w:rPr>
          <w:rFonts w:ascii="Times New Roman" w:hAnsi="Times New Roman" w:cs="Times New Roman"/>
          <w:sz w:val="24"/>
          <w:szCs w:val="24"/>
        </w:rPr>
      </w:pPr>
      <w:r w:rsidRPr="00652334">
        <w:rPr>
          <w:rFonts w:ascii="Times New Roman" w:hAnsi="Times New Roman" w:cs="Times New Roman"/>
          <w:sz w:val="24"/>
          <w:szCs w:val="24"/>
        </w:rPr>
        <w:t xml:space="preserve">Pro posouzení formy financování a struktury externích zdrojů financování byly vypočteny také ukazatele zadluženosti, jako je celková zadluženost, krátkodobá zadluženost a ukazatel úrokového krytí. Vysoký podíl krátkodobých závazků v kapitálové struktuře byl označen za </w:t>
      </w:r>
      <w:r w:rsidRPr="00652334">
        <w:rPr>
          <w:rFonts w:ascii="Times New Roman" w:hAnsi="Times New Roman" w:cs="Times New Roman"/>
          <w:sz w:val="24"/>
          <w:szCs w:val="24"/>
        </w:rPr>
        <w:lastRenderedPageBreak/>
        <w:t xml:space="preserve">potenciální riziko a k posouzení a sledování tohoto jevu byl navržen ukazatel obchodního deficitu. Bylo rovněž uvedeno úrokové zatížení společnosti a jejích konkurentů za pětileté období. </w:t>
      </w:r>
      <w:r w:rsidR="00E723E3">
        <w:rPr>
          <w:rFonts w:ascii="Times New Roman" w:hAnsi="Times New Roman" w:cs="Times New Roman"/>
          <w:sz w:val="24"/>
          <w:szCs w:val="24"/>
        </w:rPr>
        <w:t>Takže byla</w:t>
      </w:r>
      <w:r w:rsidRPr="00652334">
        <w:rPr>
          <w:rFonts w:ascii="Times New Roman" w:hAnsi="Times New Roman" w:cs="Times New Roman"/>
          <w:sz w:val="24"/>
          <w:szCs w:val="24"/>
        </w:rPr>
        <w:t xml:space="preserve"> zaznamenána vysoká volatilita hodnot závazků vzniklých v důsledku cash poolingu.</w:t>
      </w:r>
    </w:p>
    <w:p w14:paraId="336EE049" w14:textId="05FD8091" w:rsidR="00165AD3" w:rsidRDefault="00165AD3" w:rsidP="00652334">
      <w:pPr>
        <w:spacing w:line="360" w:lineRule="auto"/>
        <w:ind w:firstLine="709"/>
        <w:jc w:val="both"/>
        <w:rPr>
          <w:rFonts w:ascii="Times New Roman" w:hAnsi="Times New Roman" w:cs="Times New Roman"/>
          <w:sz w:val="24"/>
          <w:szCs w:val="24"/>
        </w:rPr>
      </w:pPr>
      <w:r w:rsidRPr="00165AD3">
        <w:rPr>
          <w:rFonts w:ascii="Times New Roman" w:hAnsi="Times New Roman" w:cs="Times New Roman"/>
          <w:sz w:val="24"/>
          <w:szCs w:val="24"/>
        </w:rPr>
        <w:t xml:space="preserve">K měření efektivnosti výroby a řízení společnosti Mlékárna Kunín s.r.o. byly použity ukazatele </w:t>
      </w:r>
      <w:r w:rsidR="00DC5606">
        <w:rPr>
          <w:rFonts w:ascii="Times New Roman" w:hAnsi="Times New Roman" w:cs="Times New Roman"/>
          <w:sz w:val="24"/>
          <w:szCs w:val="24"/>
        </w:rPr>
        <w:t>aktivity</w:t>
      </w:r>
      <w:r w:rsidRPr="00165AD3">
        <w:rPr>
          <w:rFonts w:ascii="Times New Roman" w:hAnsi="Times New Roman" w:cs="Times New Roman"/>
          <w:sz w:val="24"/>
          <w:szCs w:val="24"/>
        </w:rPr>
        <w:t xml:space="preserve">. Obrat celkových aktiv </w:t>
      </w:r>
      <w:r w:rsidR="00921670">
        <w:rPr>
          <w:rFonts w:ascii="Times New Roman" w:hAnsi="Times New Roman" w:cs="Times New Roman"/>
          <w:sz w:val="24"/>
          <w:szCs w:val="24"/>
        </w:rPr>
        <w:t xml:space="preserve">byl </w:t>
      </w:r>
      <w:r w:rsidRPr="00165AD3">
        <w:rPr>
          <w:rFonts w:ascii="Times New Roman" w:hAnsi="Times New Roman" w:cs="Times New Roman"/>
          <w:sz w:val="24"/>
          <w:szCs w:val="24"/>
        </w:rPr>
        <w:t xml:space="preserve">vypočten jako poměr tržeb z prodeje k celkovým aktivům. Nízká likvidita a ukazatele platební neschopnosti společnosti vyžadují sledování doby obratu zásob a pohledávek. Ukazatel obratu zásob a doba obratu pohledávek se </w:t>
      </w:r>
      <w:r w:rsidR="00921670">
        <w:rPr>
          <w:rFonts w:ascii="Times New Roman" w:hAnsi="Times New Roman" w:cs="Times New Roman"/>
          <w:sz w:val="24"/>
          <w:szCs w:val="24"/>
        </w:rPr>
        <w:t>počítal</w:t>
      </w:r>
      <w:r w:rsidRPr="00165AD3">
        <w:rPr>
          <w:rFonts w:ascii="Times New Roman" w:hAnsi="Times New Roman" w:cs="Times New Roman"/>
          <w:sz w:val="24"/>
          <w:szCs w:val="24"/>
        </w:rPr>
        <w:t xml:space="preserve"> pomocí počtu dnů v období stanoveném na 360 dnů. </w:t>
      </w:r>
      <w:r w:rsidR="00921670">
        <w:rPr>
          <w:rFonts w:ascii="Times New Roman" w:hAnsi="Times New Roman" w:cs="Times New Roman"/>
          <w:sz w:val="24"/>
          <w:szCs w:val="24"/>
        </w:rPr>
        <w:t>Byla vypočtena</w:t>
      </w:r>
      <w:r w:rsidRPr="00165AD3">
        <w:rPr>
          <w:rFonts w:ascii="Times New Roman" w:hAnsi="Times New Roman" w:cs="Times New Roman"/>
          <w:sz w:val="24"/>
          <w:szCs w:val="24"/>
        </w:rPr>
        <w:t xml:space="preserve"> se také doba obratu závazků. Schodek obchodní bilance se </w:t>
      </w:r>
      <w:r w:rsidR="00921670">
        <w:rPr>
          <w:rFonts w:ascii="Times New Roman" w:hAnsi="Times New Roman" w:cs="Times New Roman"/>
          <w:sz w:val="24"/>
          <w:szCs w:val="24"/>
        </w:rPr>
        <w:t>vypočítal</w:t>
      </w:r>
      <w:r w:rsidRPr="00165AD3">
        <w:rPr>
          <w:rFonts w:ascii="Times New Roman" w:hAnsi="Times New Roman" w:cs="Times New Roman"/>
          <w:sz w:val="24"/>
          <w:szCs w:val="24"/>
        </w:rPr>
        <w:t xml:space="preserve"> jako rozdíl mezi dobou obratu pohledávek a dobou obratu závazků. </w:t>
      </w:r>
    </w:p>
    <w:p w14:paraId="66AB5184" w14:textId="061D771A" w:rsidR="00165AD3" w:rsidRPr="00D433F4" w:rsidRDefault="00165AD3" w:rsidP="00652334">
      <w:pPr>
        <w:spacing w:line="360" w:lineRule="auto"/>
        <w:ind w:firstLine="709"/>
        <w:jc w:val="both"/>
        <w:rPr>
          <w:rFonts w:ascii="Times New Roman" w:hAnsi="Times New Roman" w:cs="Times New Roman"/>
          <w:sz w:val="24"/>
          <w:szCs w:val="24"/>
        </w:rPr>
      </w:pPr>
      <w:r w:rsidRPr="00165AD3">
        <w:rPr>
          <w:rFonts w:ascii="Times New Roman" w:hAnsi="Times New Roman" w:cs="Times New Roman"/>
          <w:sz w:val="24"/>
          <w:szCs w:val="24"/>
        </w:rPr>
        <w:t>Pro pochopení schopnosti společnosti splácet krátkodobé dluhy byly analyzovány ukazatele likvidity, včetně ukazatelů běžné, pohotové a okamžité likvidity. Výsledky byly vyhodnoceny pomocí doporučených hodnot a porovnány s průměry v odvětví. Čistý pracovní kapitál byl vypočten za účelem prozkoumání finanční stability společnosti za období pěti let.</w:t>
      </w:r>
    </w:p>
    <w:p w14:paraId="6288432C" w14:textId="2085EB38" w:rsidR="00B14596" w:rsidRPr="00CF4C10" w:rsidRDefault="00C76FD5" w:rsidP="00B14596">
      <w:pPr>
        <w:spacing w:line="360" w:lineRule="auto"/>
        <w:ind w:firstLine="709"/>
        <w:jc w:val="both"/>
        <w:rPr>
          <w:rFonts w:ascii="Times New Roman" w:hAnsi="Times New Roman" w:cs="Times New Roman"/>
          <w:sz w:val="24"/>
          <w:szCs w:val="24"/>
        </w:rPr>
      </w:pPr>
      <w:r w:rsidRPr="00C76FD5">
        <w:rPr>
          <w:rFonts w:ascii="Times New Roman" w:hAnsi="Times New Roman" w:cs="Times New Roman"/>
          <w:sz w:val="24"/>
          <w:szCs w:val="24"/>
        </w:rPr>
        <w:t xml:space="preserve">Je důležité pečlivě zvolit vhodný finanční model pro hodnocení úvěruschopnosti společnosti a jejího potenciálního úpadku, protože ukazatele použité v modelu by měly co nejlépe vystihovat situaci společnosti a neměly by vykazovat výrazné výkyvy v průběhu sledovaných let. V tomto případě byl pro společnost Mlékárna Kunín s.r.o. považován model úpadku IN 05 za nevhodný z důvodu extrémní hodnoty ukazatele v posledním roce, která byla způsobena výsledkem EBIT/úrokové náklady. Místo toho byl zvolen index IN99, který nezahrnuje úrokové náklady, a za vhodný byl považován </w:t>
      </w:r>
      <w:proofErr w:type="spellStart"/>
      <w:r w:rsidRPr="00C76FD5">
        <w:rPr>
          <w:rFonts w:ascii="Times New Roman" w:hAnsi="Times New Roman" w:cs="Times New Roman"/>
          <w:sz w:val="24"/>
          <w:szCs w:val="24"/>
        </w:rPr>
        <w:t>Tafflerův</w:t>
      </w:r>
      <w:proofErr w:type="spellEnd"/>
      <w:r w:rsidRPr="00C76FD5">
        <w:rPr>
          <w:rFonts w:ascii="Times New Roman" w:hAnsi="Times New Roman" w:cs="Times New Roman"/>
          <w:sz w:val="24"/>
          <w:szCs w:val="24"/>
        </w:rPr>
        <w:t xml:space="preserve"> model, který zahrnuje pro společnost důležité ukazatele a nezaměřuje se na jediný ukazatel. Výpočet a vyhodnocení poměrových ukazatelů bylo provedeno pomocí teoretické části práce a výsledky byly uvedeny ve dvou tabulkách, aby bylo možné určit, který prvek modelu má nejvyšší hodnotu a přínos pro výsledný index.</w:t>
      </w:r>
      <w:r w:rsidR="00B14596">
        <w:rPr>
          <w:rFonts w:ascii="Times New Roman" w:hAnsi="Times New Roman" w:cs="Times New Roman"/>
          <w:sz w:val="24"/>
          <w:szCs w:val="24"/>
        </w:rPr>
        <w:br w:type="page"/>
      </w:r>
    </w:p>
    <w:p w14:paraId="1FB6AC3E" w14:textId="3758E5CF" w:rsidR="00C56A10" w:rsidRDefault="00C56A10" w:rsidP="000815B2">
      <w:pPr>
        <w:pStyle w:val="Nadpis1"/>
      </w:pPr>
      <w:r>
        <w:lastRenderedPageBreak/>
        <w:t>Výsledky</w:t>
      </w:r>
    </w:p>
    <w:p w14:paraId="687507B8" w14:textId="77777777" w:rsidR="000815B2" w:rsidRPr="000815B2" w:rsidRDefault="000815B2" w:rsidP="000815B2">
      <w:pPr>
        <w:rPr>
          <w:lang w:eastAsia="cs-CZ"/>
        </w:rPr>
      </w:pPr>
    </w:p>
    <w:p w14:paraId="1CC6872E" w14:textId="4683A87B" w:rsidR="00B14596" w:rsidRPr="002D410B" w:rsidRDefault="002D410B" w:rsidP="004A74AC">
      <w:pPr>
        <w:spacing w:line="360" w:lineRule="auto"/>
        <w:ind w:firstLine="709"/>
        <w:jc w:val="both"/>
        <w:rPr>
          <w:rFonts w:ascii="Times New Roman" w:hAnsi="Times New Roman" w:cs="Times New Roman"/>
          <w:sz w:val="24"/>
          <w:szCs w:val="24"/>
        </w:rPr>
      </w:pPr>
      <w:r w:rsidRPr="002D410B">
        <w:rPr>
          <w:rFonts w:ascii="Times New Roman" w:hAnsi="Times New Roman" w:cs="Times New Roman"/>
          <w:sz w:val="24"/>
          <w:szCs w:val="24"/>
        </w:rPr>
        <w:t>Z analýzy tabulky č.</w:t>
      </w:r>
      <w:r w:rsidR="000815B2">
        <w:rPr>
          <w:rFonts w:ascii="Times New Roman" w:hAnsi="Times New Roman" w:cs="Times New Roman"/>
          <w:sz w:val="24"/>
          <w:szCs w:val="24"/>
        </w:rPr>
        <w:t>1</w:t>
      </w:r>
      <w:r w:rsidRPr="002D410B">
        <w:rPr>
          <w:rFonts w:ascii="Times New Roman" w:hAnsi="Times New Roman" w:cs="Times New Roman"/>
          <w:sz w:val="24"/>
          <w:szCs w:val="24"/>
        </w:rPr>
        <w:t xml:space="preserve"> je patrné, že společnost Mlékárna Kunín s.r.o. zaznamenala pokles ukazatelů rentability zejména v roce 2019, což lze přičíst tržním faktorům. V posledních dvou letech však společnost vykazuje určité zlepšení hodnot ROA. Za zmínku stojí také skutečnost, že rentabilita vlastního kapitálu je výrazně vyšší než rentabilita aktiv a rentabilita tržeb, což je způsobeno dluhovým financováním aktiv společnosti.</w:t>
      </w:r>
    </w:p>
    <w:p w14:paraId="25A79E72" w14:textId="625CC489" w:rsidR="002D410B" w:rsidRPr="002D410B" w:rsidRDefault="002D410B" w:rsidP="002D410B">
      <w:pPr>
        <w:pStyle w:val="Podnadpis"/>
        <w:rPr>
          <w:i w:val="0"/>
          <w:iCs/>
          <w:sz w:val="20"/>
          <w:szCs w:val="20"/>
        </w:rPr>
      </w:pPr>
      <w:bookmarkStart w:id="0" w:name="_Toc130489677"/>
      <w:r w:rsidRPr="002D410B">
        <w:rPr>
          <w:i w:val="0"/>
          <w:iCs/>
          <w:sz w:val="20"/>
          <w:szCs w:val="20"/>
        </w:rPr>
        <w:t xml:space="preserve">Tabulka </w:t>
      </w:r>
      <w:r w:rsidR="000815B2">
        <w:rPr>
          <w:i w:val="0"/>
          <w:iCs/>
          <w:sz w:val="20"/>
          <w:szCs w:val="20"/>
        </w:rPr>
        <w:t>1</w:t>
      </w:r>
      <w:r w:rsidR="000815B2" w:rsidRPr="002D410B">
        <w:rPr>
          <w:i w:val="0"/>
          <w:iCs/>
          <w:sz w:val="20"/>
          <w:szCs w:val="20"/>
        </w:rPr>
        <w:t>: Výsledky</w:t>
      </w:r>
      <w:r w:rsidRPr="002D410B">
        <w:rPr>
          <w:i w:val="0"/>
          <w:iCs/>
          <w:sz w:val="20"/>
          <w:szCs w:val="20"/>
        </w:rPr>
        <w:t xml:space="preserve"> ukazatelů rentability společnosti</w:t>
      </w:r>
      <w:bookmarkEnd w:id="0"/>
    </w:p>
    <w:tbl>
      <w:tblPr>
        <w:tblStyle w:val="Prosttabulka1"/>
        <w:tblW w:w="5760" w:type="dxa"/>
        <w:jc w:val="center"/>
        <w:tblLook w:val="04A0" w:firstRow="1" w:lastRow="0" w:firstColumn="1" w:lastColumn="0" w:noHBand="0" w:noVBand="1"/>
      </w:tblPr>
      <w:tblGrid>
        <w:gridCol w:w="960"/>
        <w:gridCol w:w="960"/>
        <w:gridCol w:w="960"/>
        <w:gridCol w:w="960"/>
        <w:gridCol w:w="960"/>
        <w:gridCol w:w="960"/>
      </w:tblGrid>
      <w:tr w:rsidR="002D410B" w:rsidRPr="00124900" w14:paraId="1AABB2E9" w14:textId="77777777" w:rsidTr="00207E57">
        <w:trPr>
          <w:cnfStyle w:val="100000000000" w:firstRow="1" w:lastRow="0" w:firstColumn="0" w:lastColumn="0" w:oddVBand="0" w:evenVBand="0" w:oddHBand="0" w:evenHBand="0" w:firstRowFirstColumn="0" w:firstRowLastColumn="0" w:lastRowFirstColumn="0" w:lastRowLastColumn="0"/>
          <w:trHeight w:val="277"/>
          <w:jc w:val="center"/>
        </w:trPr>
        <w:tc>
          <w:tcPr>
            <w:cnfStyle w:val="001000000000" w:firstRow="0" w:lastRow="0" w:firstColumn="1" w:lastColumn="0" w:oddVBand="0" w:evenVBand="0" w:oddHBand="0" w:evenHBand="0" w:firstRowFirstColumn="0" w:firstRowLastColumn="0" w:lastRowFirstColumn="0" w:lastRowLastColumn="0"/>
            <w:tcW w:w="960" w:type="dxa"/>
            <w:noWrap/>
            <w:hideMark/>
          </w:tcPr>
          <w:p w14:paraId="2A7639C2" w14:textId="77777777" w:rsidR="002D410B" w:rsidRPr="00124900" w:rsidRDefault="002D410B" w:rsidP="004B09E7">
            <w:pPr>
              <w:rPr>
                <w:rFonts w:ascii="Calibri" w:eastAsia="Times New Roman" w:hAnsi="Calibri" w:cs="Calibri"/>
                <w:color w:val="000000"/>
                <w:lang w:eastAsia="cs-CZ"/>
              </w:rPr>
            </w:pPr>
            <w:r w:rsidRPr="00124900">
              <w:rPr>
                <w:rFonts w:ascii="Calibri" w:eastAsia="Times New Roman" w:hAnsi="Calibri" w:cs="Calibri"/>
                <w:color w:val="000000"/>
                <w:lang w:eastAsia="cs-CZ"/>
              </w:rPr>
              <w:t> </w:t>
            </w:r>
          </w:p>
        </w:tc>
        <w:tc>
          <w:tcPr>
            <w:tcW w:w="960" w:type="dxa"/>
            <w:noWrap/>
            <w:hideMark/>
          </w:tcPr>
          <w:p w14:paraId="14927FC0" w14:textId="77777777" w:rsidR="002D410B" w:rsidRPr="00124900" w:rsidRDefault="002D410B" w:rsidP="004B09E7">
            <w:pPr>
              <w:jc w:val="right"/>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bCs w:val="0"/>
                <w:color w:val="000000"/>
                <w:lang w:eastAsia="cs-CZ"/>
              </w:rPr>
            </w:pPr>
            <w:r w:rsidRPr="00124900">
              <w:rPr>
                <w:rFonts w:ascii="Calibri" w:eastAsia="Times New Roman" w:hAnsi="Calibri" w:cs="Calibri"/>
                <w:color w:val="000000"/>
                <w:lang w:eastAsia="cs-CZ"/>
              </w:rPr>
              <w:t>2017</w:t>
            </w:r>
          </w:p>
        </w:tc>
        <w:tc>
          <w:tcPr>
            <w:tcW w:w="960" w:type="dxa"/>
            <w:noWrap/>
            <w:hideMark/>
          </w:tcPr>
          <w:p w14:paraId="533BAC09" w14:textId="77777777" w:rsidR="002D410B" w:rsidRPr="00124900" w:rsidRDefault="002D410B" w:rsidP="004B09E7">
            <w:pPr>
              <w:jc w:val="right"/>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bCs w:val="0"/>
                <w:color w:val="000000"/>
                <w:lang w:eastAsia="cs-CZ"/>
              </w:rPr>
            </w:pPr>
            <w:r w:rsidRPr="00124900">
              <w:rPr>
                <w:rFonts w:ascii="Calibri" w:eastAsia="Times New Roman" w:hAnsi="Calibri" w:cs="Calibri"/>
                <w:color w:val="000000"/>
                <w:lang w:eastAsia="cs-CZ"/>
              </w:rPr>
              <w:t>2018</w:t>
            </w:r>
          </w:p>
        </w:tc>
        <w:tc>
          <w:tcPr>
            <w:tcW w:w="960" w:type="dxa"/>
            <w:noWrap/>
            <w:hideMark/>
          </w:tcPr>
          <w:p w14:paraId="3343B375" w14:textId="77777777" w:rsidR="002D410B" w:rsidRPr="00124900" w:rsidRDefault="002D410B" w:rsidP="004B09E7">
            <w:pPr>
              <w:jc w:val="right"/>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bCs w:val="0"/>
                <w:color w:val="000000"/>
                <w:lang w:eastAsia="cs-CZ"/>
              </w:rPr>
            </w:pPr>
            <w:r w:rsidRPr="00124900">
              <w:rPr>
                <w:rFonts w:ascii="Calibri" w:eastAsia="Times New Roman" w:hAnsi="Calibri" w:cs="Calibri"/>
                <w:color w:val="000000"/>
                <w:lang w:eastAsia="cs-CZ"/>
              </w:rPr>
              <w:t>2019</w:t>
            </w:r>
          </w:p>
        </w:tc>
        <w:tc>
          <w:tcPr>
            <w:tcW w:w="960" w:type="dxa"/>
            <w:noWrap/>
            <w:hideMark/>
          </w:tcPr>
          <w:p w14:paraId="47484F58" w14:textId="77777777" w:rsidR="002D410B" w:rsidRPr="00124900" w:rsidRDefault="002D410B" w:rsidP="004B09E7">
            <w:pPr>
              <w:jc w:val="right"/>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bCs w:val="0"/>
                <w:color w:val="000000"/>
                <w:lang w:eastAsia="cs-CZ"/>
              </w:rPr>
            </w:pPr>
            <w:r w:rsidRPr="00124900">
              <w:rPr>
                <w:rFonts w:ascii="Calibri" w:eastAsia="Times New Roman" w:hAnsi="Calibri" w:cs="Calibri"/>
                <w:color w:val="000000"/>
                <w:lang w:eastAsia="cs-CZ"/>
              </w:rPr>
              <w:t>2020</w:t>
            </w:r>
          </w:p>
        </w:tc>
        <w:tc>
          <w:tcPr>
            <w:tcW w:w="960" w:type="dxa"/>
            <w:noWrap/>
            <w:hideMark/>
          </w:tcPr>
          <w:p w14:paraId="3C18B384" w14:textId="77777777" w:rsidR="002D410B" w:rsidRPr="00124900" w:rsidRDefault="002D410B" w:rsidP="004B09E7">
            <w:pPr>
              <w:jc w:val="right"/>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bCs w:val="0"/>
                <w:color w:val="000000"/>
                <w:lang w:eastAsia="cs-CZ"/>
              </w:rPr>
            </w:pPr>
            <w:r w:rsidRPr="00124900">
              <w:rPr>
                <w:rFonts w:ascii="Calibri" w:eastAsia="Times New Roman" w:hAnsi="Calibri" w:cs="Calibri"/>
                <w:color w:val="000000"/>
                <w:lang w:eastAsia="cs-CZ"/>
              </w:rPr>
              <w:t>2021</w:t>
            </w:r>
          </w:p>
        </w:tc>
      </w:tr>
      <w:tr w:rsidR="002D410B" w:rsidRPr="00124900" w14:paraId="00E2BB8D" w14:textId="77777777" w:rsidTr="00207E57">
        <w:trPr>
          <w:cnfStyle w:val="000000100000" w:firstRow="0" w:lastRow="0" w:firstColumn="0" w:lastColumn="0" w:oddVBand="0" w:evenVBand="0" w:oddHBand="1" w:evenHBand="0" w:firstRowFirstColumn="0" w:firstRowLastColumn="0" w:lastRowFirstColumn="0" w:lastRowLastColumn="0"/>
          <w:trHeight w:val="256"/>
          <w:jc w:val="center"/>
        </w:trPr>
        <w:tc>
          <w:tcPr>
            <w:cnfStyle w:val="001000000000" w:firstRow="0" w:lastRow="0" w:firstColumn="1" w:lastColumn="0" w:oddVBand="0" w:evenVBand="0" w:oddHBand="0" w:evenHBand="0" w:firstRowFirstColumn="0" w:firstRowLastColumn="0" w:lastRowFirstColumn="0" w:lastRowLastColumn="0"/>
            <w:tcW w:w="960" w:type="dxa"/>
            <w:noWrap/>
          </w:tcPr>
          <w:p w14:paraId="47FB53F5" w14:textId="77777777" w:rsidR="002D410B" w:rsidRPr="00233E90" w:rsidRDefault="002D410B" w:rsidP="004B09E7">
            <w:pPr>
              <w:rPr>
                <w:rFonts w:ascii="Calibri" w:eastAsia="Times New Roman" w:hAnsi="Calibri" w:cs="Calibri"/>
                <w:b w:val="0"/>
                <w:bCs w:val="0"/>
                <w:color w:val="000000"/>
                <w:lang w:val="ru-RU" w:eastAsia="cs-CZ"/>
              </w:rPr>
            </w:pPr>
            <w:r w:rsidRPr="00124900">
              <w:rPr>
                <w:rFonts w:ascii="Calibri" w:eastAsia="Times New Roman" w:hAnsi="Calibri" w:cs="Calibri"/>
                <w:color w:val="000000"/>
                <w:lang w:eastAsia="cs-CZ"/>
              </w:rPr>
              <w:t>ROE</w:t>
            </w:r>
          </w:p>
        </w:tc>
        <w:tc>
          <w:tcPr>
            <w:tcW w:w="960" w:type="dxa"/>
            <w:noWrap/>
          </w:tcPr>
          <w:p w14:paraId="0FD0CA81" w14:textId="77777777" w:rsidR="002D410B" w:rsidRPr="00124900" w:rsidRDefault="002D410B" w:rsidP="004B09E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cs-CZ"/>
              </w:rPr>
            </w:pPr>
            <w:proofErr w:type="gramStart"/>
            <w:r w:rsidRPr="00124900">
              <w:rPr>
                <w:rFonts w:ascii="Calibri" w:eastAsia="Times New Roman" w:hAnsi="Calibri" w:cs="Calibri"/>
                <w:color w:val="000000"/>
                <w:lang w:eastAsia="cs-CZ"/>
              </w:rPr>
              <w:t>10,05%</w:t>
            </w:r>
            <w:proofErr w:type="gramEnd"/>
          </w:p>
        </w:tc>
        <w:tc>
          <w:tcPr>
            <w:tcW w:w="960" w:type="dxa"/>
            <w:noWrap/>
          </w:tcPr>
          <w:p w14:paraId="57F56AF0" w14:textId="77777777" w:rsidR="002D410B" w:rsidRPr="00124900" w:rsidRDefault="002D410B" w:rsidP="004B09E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cs-CZ"/>
              </w:rPr>
            </w:pPr>
            <w:proofErr w:type="gramStart"/>
            <w:r w:rsidRPr="00124900">
              <w:rPr>
                <w:rFonts w:ascii="Calibri" w:eastAsia="Times New Roman" w:hAnsi="Calibri" w:cs="Calibri"/>
                <w:color w:val="000000"/>
                <w:lang w:eastAsia="cs-CZ"/>
              </w:rPr>
              <w:t>9,26%</w:t>
            </w:r>
            <w:proofErr w:type="gramEnd"/>
          </w:p>
        </w:tc>
        <w:tc>
          <w:tcPr>
            <w:tcW w:w="960" w:type="dxa"/>
            <w:noWrap/>
          </w:tcPr>
          <w:p w14:paraId="7D145C3D" w14:textId="77777777" w:rsidR="002D410B" w:rsidRPr="00124900" w:rsidRDefault="002D410B" w:rsidP="004B09E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cs-CZ"/>
              </w:rPr>
            </w:pPr>
            <w:proofErr w:type="gramStart"/>
            <w:r w:rsidRPr="00124900">
              <w:rPr>
                <w:rFonts w:ascii="Calibri" w:eastAsia="Times New Roman" w:hAnsi="Calibri" w:cs="Calibri"/>
                <w:color w:val="000000"/>
                <w:lang w:eastAsia="cs-CZ"/>
              </w:rPr>
              <w:t>7,24%</w:t>
            </w:r>
            <w:proofErr w:type="gramEnd"/>
          </w:p>
        </w:tc>
        <w:tc>
          <w:tcPr>
            <w:tcW w:w="960" w:type="dxa"/>
            <w:noWrap/>
          </w:tcPr>
          <w:p w14:paraId="11239550" w14:textId="77777777" w:rsidR="002D410B" w:rsidRPr="00124900" w:rsidRDefault="002D410B" w:rsidP="004B09E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cs-CZ"/>
              </w:rPr>
            </w:pPr>
            <w:proofErr w:type="gramStart"/>
            <w:r w:rsidRPr="00124900">
              <w:rPr>
                <w:rFonts w:ascii="Calibri" w:eastAsia="Times New Roman" w:hAnsi="Calibri" w:cs="Calibri"/>
                <w:color w:val="000000"/>
                <w:lang w:eastAsia="cs-CZ"/>
              </w:rPr>
              <w:t>10,86%</w:t>
            </w:r>
            <w:proofErr w:type="gramEnd"/>
          </w:p>
        </w:tc>
        <w:tc>
          <w:tcPr>
            <w:tcW w:w="960" w:type="dxa"/>
            <w:noWrap/>
          </w:tcPr>
          <w:p w14:paraId="1D23C900" w14:textId="77777777" w:rsidR="002D410B" w:rsidRPr="00124900" w:rsidRDefault="002D410B" w:rsidP="004B09E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cs-CZ"/>
              </w:rPr>
            </w:pPr>
            <w:r w:rsidRPr="00124900">
              <w:rPr>
                <w:rFonts w:ascii="Calibri" w:eastAsia="Times New Roman" w:hAnsi="Calibri" w:cs="Calibri"/>
                <w:color w:val="000000"/>
                <w:lang w:eastAsia="cs-CZ"/>
              </w:rPr>
              <w:t>9,88 %</w:t>
            </w:r>
          </w:p>
        </w:tc>
      </w:tr>
      <w:tr w:rsidR="002D410B" w:rsidRPr="00124900" w14:paraId="72479574" w14:textId="77777777" w:rsidTr="00207E57">
        <w:trPr>
          <w:trHeight w:val="256"/>
          <w:jc w:val="center"/>
        </w:trPr>
        <w:tc>
          <w:tcPr>
            <w:cnfStyle w:val="001000000000" w:firstRow="0" w:lastRow="0" w:firstColumn="1" w:lastColumn="0" w:oddVBand="0" w:evenVBand="0" w:oddHBand="0" w:evenHBand="0" w:firstRowFirstColumn="0" w:firstRowLastColumn="0" w:lastRowFirstColumn="0" w:lastRowLastColumn="0"/>
            <w:tcW w:w="960" w:type="dxa"/>
            <w:noWrap/>
            <w:hideMark/>
          </w:tcPr>
          <w:p w14:paraId="1541CCB1" w14:textId="77777777" w:rsidR="002D410B" w:rsidRPr="00124900" w:rsidRDefault="002D410B" w:rsidP="004B09E7">
            <w:pPr>
              <w:rPr>
                <w:rFonts w:ascii="Calibri" w:eastAsia="Times New Roman" w:hAnsi="Calibri" w:cs="Calibri"/>
                <w:b w:val="0"/>
                <w:bCs w:val="0"/>
                <w:color w:val="000000"/>
                <w:lang w:eastAsia="cs-CZ"/>
              </w:rPr>
            </w:pPr>
            <w:r w:rsidRPr="00124900">
              <w:rPr>
                <w:rFonts w:ascii="Calibri" w:eastAsia="Times New Roman" w:hAnsi="Calibri" w:cs="Calibri"/>
                <w:color w:val="000000"/>
                <w:lang w:eastAsia="cs-CZ"/>
              </w:rPr>
              <w:t>ROA</w:t>
            </w:r>
          </w:p>
        </w:tc>
        <w:tc>
          <w:tcPr>
            <w:tcW w:w="960" w:type="dxa"/>
            <w:noWrap/>
            <w:hideMark/>
          </w:tcPr>
          <w:p w14:paraId="18566C2F" w14:textId="77777777" w:rsidR="002D410B" w:rsidRPr="00124900" w:rsidRDefault="002D410B" w:rsidP="004B09E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cs-CZ"/>
              </w:rPr>
            </w:pPr>
            <w:proofErr w:type="gramStart"/>
            <w:r w:rsidRPr="00124900">
              <w:rPr>
                <w:rFonts w:ascii="Calibri" w:eastAsia="Times New Roman" w:hAnsi="Calibri" w:cs="Calibri"/>
                <w:color w:val="000000"/>
                <w:lang w:eastAsia="cs-CZ"/>
              </w:rPr>
              <w:t>3,87%</w:t>
            </w:r>
            <w:proofErr w:type="gramEnd"/>
          </w:p>
        </w:tc>
        <w:tc>
          <w:tcPr>
            <w:tcW w:w="960" w:type="dxa"/>
            <w:noWrap/>
            <w:hideMark/>
          </w:tcPr>
          <w:p w14:paraId="468109CC" w14:textId="77777777" w:rsidR="002D410B" w:rsidRPr="00124900" w:rsidRDefault="002D410B" w:rsidP="004B09E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cs-CZ"/>
              </w:rPr>
            </w:pPr>
            <w:proofErr w:type="gramStart"/>
            <w:r w:rsidRPr="00124900">
              <w:rPr>
                <w:rFonts w:ascii="Calibri" w:eastAsia="Times New Roman" w:hAnsi="Calibri" w:cs="Calibri"/>
                <w:color w:val="000000"/>
                <w:lang w:eastAsia="cs-CZ"/>
              </w:rPr>
              <w:t>3,74%</w:t>
            </w:r>
            <w:proofErr w:type="gramEnd"/>
          </w:p>
        </w:tc>
        <w:tc>
          <w:tcPr>
            <w:tcW w:w="960" w:type="dxa"/>
            <w:noWrap/>
            <w:hideMark/>
          </w:tcPr>
          <w:p w14:paraId="5F61BA93" w14:textId="77777777" w:rsidR="002D410B" w:rsidRPr="00124900" w:rsidRDefault="002D410B" w:rsidP="004B09E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cs-CZ"/>
              </w:rPr>
            </w:pPr>
            <w:proofErr w:type="gramStart"/>
            <w:r w:rsidRPr="00124900">
              <w:rPr>
                <w:rFonts w:ascii="Calibri" w:eastAsia="Times New Roman" w:hAnsi="Calibri" w:cs="Calibri"/>
                <w:color w:val="000000"/>
                <w:lang w:eastAsia="cs-CZ"/>
              </w:rPr>
              <w:t>3,02%</w:t>
            </w:r>
            <w:proofErr w:type="gramEnd"/>
          </w:p>
        </w:tc>
        <w:tc>
          <w:tcPr>
            <w:tcW w:w="960" w:type="dxa"/>
            <w:noWrap/>
            <w:hideMark/>
          </w:tcPr>
          <w:p w14:paraId="433F8B4B" w14:textId="77777777" w:rsidR="002D410B" w:rsidRPr="00124900" w:rsidRDefault="002D410B" w:rsidP="004B09E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cs-CZ"/>
              </w:rPr>
            </w:pPr>
            <w:proofErr w:type="gramStart"/>
            <w:r w:rsidRPr="00124900">
              <w:rPr>
                <w:rFonts w:ascii="Calibri" w:eastAsia="Times New Roman" w:hAnsi="Calibri" w:cs="Calibri"/>
                <w:color w:val="000000"/>
                <w:lang w:eastAsia="cs-CZ"/>
              </w:rPr>
              <w:t>5,81%</w:t>
            </w:r>
            <w:proofErr w:type="gramEnd"/>
          </w:p>
        </w:tc>
        <w:tc>
          <w:tcPr>
            <w:tcW w:w="960" w:type="dxa"/>
            <w:noWrap/>
            <w:hideMark/>
          </w:tcPr>
          <w:p w14:paraId="77CF99AE" w14:textId="77777777" w:rsidR="002D410B" w:rsidRPr="00124900" w:rsidRDefault="002D410B" w:rsidP="004B09E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cs-CZ"/>
              </w:rPr>
            </w:pPr>
            <w:r w:rsidRPr="00124900">
              <w:rPr>
                <w:rFonts w:ascii="Calibri" w:eastAsia="Times New Roman" w:hAnsi="Calibri" w:cs="Calibri"/>
                <w:color w:val="000000"/>
                <w:lang w:eastAsia="cs-CZ"/>
              </w:rPr>
              <w:t>5,19</w:t>
            </w:r>
            <w:r>
              <w:rPr>
                <w:rFonts w:ascii="Calibri" w:eastAsia="Times New Roman" w:hAnsi="Calibri" w:cs="Calibri"/>
                <w:color w:val="000000"/>
                <w:lang w:eastAsia="cs-CZ"/>
              </w:rPr>
              <w:t xml:space="preserve"> </w:t>
            </w:r>
            <w:r w:rsidRPr="00124900">
              <w:rPr>
                <w:rFonts w:ascii="Calibri" w:eastAsia="Times New Roman" w:hAnsi="Calibri" w:cs="Calibri"/>
                <w:color w:val="000000"/>
                <w:lang w:eastAsia="cs-CZ"/>
              </w:rPr>
              <w:t>%</w:t>
            </w:r>
          </w:p>
        </w:tc>
      </w:tr>
      <w:tr w:rsidR="002D410B" w:rsidRPr="00124900" w14:paraId="0421FBAA" w14:textId="77777777" w:rsidTr="00207E57">
        <w:trPr>
          <w:cnfStyle w:val="000000100000" w:firstRow="0" w:lastRow="0" w:firstColumn="0" w:lastColumn="0" w:oddVBand="0" w:evenVBand="0" w:oddHBand="1" w:evenHBand="0" w:firstRowFirstColumn="0" w:firstRowLastColumn="0" w:lastRowFirstColumn="0" w:lastRowLastColumn="0"/>
          <w:trHeight w:val="256"/>
          <w:jc w:val="center"/>
        </w:trPr>
        <w:tc>
          <w:tcPr>
            <w:cnfStyle w:val="001000000000" w:firstRow="0" w:lastRow="0" w:firstColumn="1" w:lastColumn="0" w:oddVBand="0" w:evenVBand="0" w:oddHBand="0" w:evenHBand="0" w:firstRowFirstColumn="0" w:firstRowLastColumn="0" w:lastRowFirstColumn="0" w:lastRowLastColumn="0"/>
            <w:tcW w:w="960" w:type="dxa"/>
            <w:noWrap/>
            <w:hideMark/>
          </w:tcPr>
          <w:p w14:paraId="3F3D7D0D" w14:textId="77777777" w:rsidR="002D410B" w:rsidRPr="00124900" w:rsidRDefault="002D410B" w:rsidP="004B09E7">
            <w:pPr>
              <w:rPr>
                <w:rFonts w:ascii="Calibri" w:eastAsia="Times New Roman" w:hAnsi="Calibri" w:cs="Calibri"/>
                <w:b w:val="0"/>
                <w:bCs w:val="0"/>
                <w:color w:val="000000"/>
                <w:lang w:eastAsia="cs-CZ"/>
              </w:rPr>
            </w:pPr>
            <w:r w:rsidRPr="00124900">
              <w:rPr>
                <w:rFonts w:ascii="Calibri" w:eastAsia="Times New Roman" w:hAnsi="Calibri" w:cs="Calibri"/>
                <w:color w:val="000000"/>
                <w:lang w:eastAsia="cs-CZ"/>
              </w:rPr>
              <w:t>ROS</w:t>
            </w:r>
          </w:p>
        </w:tc>
        <w:tc>
          <w:tcPr>
            <w:tcW w:w="960" w:type="dxa"/>
            <w:noWrap/>
            <w:hideMark/>
          </w:tcPr>
          <w:p w14:paraId="34F32394" w14:textId="77777777" w:rsidR="002D410B" w:rsidRPr="00124900" w:rsidRDefault="002D410B" w:rsidP="004B09E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cs-CZ"/>
              </w:rPr>
            </w:pPr>
            <w:proofErr w:type="gramStart"/>
            <w:r w:rsidRPr="00124900">
              <w:rPr>
                <w:rFonts w:ascii="Calibri" w:eastAsia="Times New Roman" w:hAnsi="Calibri" w:cs="Calibri"/>
                <w:color w:val="000000"/>
                <w:lang w:eastAsia="cs-CZ"/>
              </w:rPr>
              <w:t>1,53%</w:t>
            </w:r>
            <w:proofErr w:type="gramEnd"/>
          </w:p>
        </w:tc>
        <w:tc>
          <w:tcPr>
            <w:tcW w:w="960" w:type="dxa"/>
            <w:noWrap/>
            <w:hideMark/>
          </w:tcPr>
          <w:p w14:paraId="6EA8C605" w14:textId="77777777" w:rsidR="002D410B" w:rsidRPr="00124900" w:rsidRDefault="002D410B" w:rsidP="004B09E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cs-CZ"/>
              </w:rPr>
            </w:pPr>
            <w:proofErr w:type="gramStart"/>
            <w:r w:rsidRPr="00124900">
              <w:rPr>
                <w:rFonts w:ascii="Calibri" w:eastAsia="Times New Roman" w:hAnsi="Calibri" w:cs="Calibri"/>
                <w:color w:val="000000"/>
                <w:lang w:eastAsia="cs-CZ"/>
              </w:rPr>
              <w:t>1,58%</w:t>
            </w:r>
            <w:proofErr w:type="gramEnd"/>
          </w:p>
        </w:tc>
        <w:tc>
          <w:tcPr>
            <w:tcW w:w="960" w:type="dxa"/>
            <w:noWrap/>
            <w:hideMark/>
          </w:tcPr>
          <w:p w14:paraId="5BC1A52D" w14:textId="77777777" w:rsidR="002D410B" w:rsidRPr="00124900" w:rsidRDefault="002D410B" w:rsidP="004B09E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cs-CZ"/>
              </w:rPr>
            </w:pPr>
            <w:proofErr w:type="gramStart"/>
            <w:r w:rsidRPr="00124900">
              <w:rPr>
                <w:rFonts w:ascii="Calibri" w:eastAsia="Times New Roman" w:hAnsi="Calibri" w:cs="Calibri"/>
                <w:color w:val="000000"/>
                <w:lang w:eastAsia="cs-CZ"/>
              </w:rPr>
              <w:t>1,34%</w:t>
            </w:r>
            <w:proofErr w:type="gramEnd"/>
          </w:p>
        </w:tc>
        <w:tc>
          <w:tcPr>
            <w:tcW w:w="960" w:type="dxa"/>
            <w:noWrap/>
            <w:hideMark/>
          </w:tcPr>
          <w:p w14:paraId="2EEA96D3" w14:textId="77777777" w:rsidR="002D410B" w:rsidRPr="00124900" w:rsidRDefault="002D410B" w:rsidP="004B09E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cs-CZ"/>
              </w:rPr>
            </w:pPr>
            <w:proofErr w:type="gramStart"/>
            <w:r w:rsidRPr="00124900">
              <w:rPr>
                <w:rFonts w:ascii="Calibri" w:eastAsia="Times New Roman" w:hAnsi="Calibri" w:cs="Calibri"/>
                <w:color w:val="000000"/>
                <w:lang w:eastAsia="cs-CZ"/>
              </w:rPr>
              <w:t>2,21%</w:t>
            </w:r>
            <w:proofErr w:type="gramEnd"/>
          </w:p>
        </w:tc>
        <w:tc>
          <w:tcPr>
            <w:tcW w:w="960" w:type="dxa"/>
            <w:noWrap/>
            <w:hideMark/>
          </w:tcPr>
          <w:p w14:paraId="78A8F092" w14:textId="77777777" w:rsidR="002D410B" w:rsidRPr="00124900" w:rsidRDefault="002D410B" w:rsidP="004B09E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cs-CZ"/>
              </w:rPr>
            </w:pPr>
            <w:proofErr w:type="gramStart"/>
            <w:r w:rsidRPr="00124900">
              <w:rPr>
                <w:rFonts w:ascii="Calibri" w:eastAsia="Times New Roman" w:hAnsi="Calibri" w:cs="Calibri"/>
                <w:color w:val="000000"/>
                <w:lang w:eastAsia="cs-CZ"/>
              </w:rPr>
              <w:t>2,23%</w:t>
            </w:r>
            <w:proofErr w:type="gramEnd"/>
          </w:p>
        </w:tc>
      </w:tr>
    </w:tbl>
    <w:p w14:paraId="306D73BA" w14:textId="43EDA359" w:rsidR="002D410B" w:rsidRDefault="002D410B" w:rsidP="000815B2">
      <w:pPr>
        <w:spacing w:line="360" w:lineRule="auto"/>
        <w:jc w:val="right"/>
        <w:rPr>
          <w:rFonts w:ascii="Times New Roman" w:hAnsi="Times New Roman" w:cs="Times New Roman"/>
          <w:i/>
          <w:iCs/>
          <w:sz w:val="20"/>
          <w:szCs w:val="20"/>
        </w:rPr>
      </w:pPr>
      <w:r w:rsidRPr="00D875E2">
        <w:rPr>
          <w:rFonts w:ascii="Times New Roman" w:hAnsi="Times New Roman" w:cs="Times New Roman"/>
          <w:i/>
          <w:iCs/>
          <w:sz w:val="20"/>
          <w:szCs w:val="20"/>
        </w:rPr>
        <w:t xml:space="preserve">Zdroj: </w:t>
      </w:r>
      <w:r w:rsidR="00A63FE1" w:rsidRPr="00377D7D">
        <w:rPr>
          <w:rFonts w:ascii="Times New Roman" w:hAnsi="Times New Roman" w:cs="Times New Roman"/>
          <w:sz w:val="20"/>
          <w:szCs w:val="20"/>
        </w:rPr>
        <w:t xml:space="preserve">Finanční výkazy společnosti Mlékárna Kunín s.r.o., vlastní </w:t>
      </w:r>
      <w:r w:rsidR="00A63FE1">
        <w:rPr>
          <w:rFonts w:ascii="Times New Roman" w:hAnsi="Times New Roman" w:cs="Times New Roman"/>
          <w:sz w:val="20"/>
          <w:szCs w:val="20"/>
        </w:rPr>
        <w:t>výpočty</w:t>
      </w:r>
    </w:p>
    <w:p w14:paraId="311D45D3" w14:textId="77777777" w:rsidR="000815B2" w:rsidRPr="000815B2" w:rsidRDefault="000815B2" w:rsidP="000815B2">
      <w:pPr>
        <w:pStyle w:val="Podnadpis"/>
        <w:rPr>
          <w:i w:val="0"/>
          <w:iCs/>
          <w:sz w:val="20"/>
          <w:szCs w:val="20"/>
        </w:rPr>
      </w:pPr>
      <w:bookmarkStart w:id="1" w:name="_Toc130489763"/>
      <w:r w:rsidRPr="000815B2">
        <w:rPr>
          <w:i w:val="0"/>
          <w:iCs/>
          <w:sz w:val="20"/>
          <w:szCs w:val="20"/>
        </w:rPr>
        <w:t xml:space="preserve">Graf </w:t>
      </w:r>
      <w:r w:rsidRPr="000815B2">
        <w:rPr>
          <w:i w:val="0"/>
          <w:iCs/>
          <w:sz w:val="20"/>
          <w:szCs w:val="20"/>
        </w:rPr>
        <w:fldChar w:fldCharType="begin"/>
      </w:r>
      <w:r w:rsidRPr="000815B2">
        <w:rPr>
          <w:i w:val="0"/>
          <w:iCs/>
          <w:sz w:val="20"/>
          <w:szCs w:val="20"/>
        </w:rPr>
        <w:instrText xml:space="preserve"> SEQ Graf \* ARABIC </w:instrText>
      </w:r>
      <w:r w:rsidRPr="000815B2">
        <w:rPr>
          <w:i w:val="0"/>
          <w:iCs/>
          <w:sz w:val="20"/>
          <w:szCs w:val="20"/>
        </w:rPr>
        <w:fldChar w:fldCharType="separate"/>
      </w:r>
      <w:r w:rsidRPr="000815B2">
        <w:rPr>
          <w:i w:val="0"/>
          <w:iCs/>
          <w:noProof/>
          <w:sz w:val="20"/>
          <w:szCs w:val="20"/>
        </w:rPr>
        <w:t>1</w:t>
      </w:r>
      <w:r w:rsidRPr="000815B2">
        <w:rPr>
          <w:i w:val="0"/>
          <w:iCs/>
          <w:noProof/>
          <w:sz w:val="20"/>
          <w:szCs w:val="20"/>
        </w:rPr>
        <w:fldChar w:fldCharType="end"/>
      </w:r>
      <w:r w:rsidRPr="000815B2">
        <w:rPr>
          <w:i w:val="0"/>
          <w:iCs/>
          <w:sz w:val="20"/>
          <w:szCs w:val="20"/>
        </w:rPr>
        <w:t>:Porovnání ukazatelů rentability s průměrem konkurentů</w:t>
      </w:r>
      <w:bookmarkEnd w:id="1"/>
    </w:p>
    <w:p w14:paraId="4B0C8F56" w14:textId="77777777" w:rsidR="000815B2" w:rsidRPr="0088371E" w:rsidRDefault="000815B2" w:rsidP="000815B2">
      <w:pPr>
        <w:spacing w:line="360" w:lineRule="auto"/>
        <w:jc w:val="center"/>
        <w:rPr>
          <w:noProof/>
        </w:rPr>
      </w:pPr>
      <w:r>
        <w:rPr>
          <w:noProof/>
        </w:rPr>
        <w:drawing>
          <wp:inline distT="0" distB="0" distL="0" distR="0" wp14:anchorId="28A4CA47" wp14:editId="6CC6394A">
            <wp:extent cx="3905250" cy="2143125"/>
            <wp:effectExtent l="0" t="0" r="0" b="9525"/>
            <wp:docPr id="11" name="Graf 11">
              <a:extLst xmlns:a="http://schemas.openxmlformats.org/drawingml/2006/main">
                <a:ext uri="{FF2B5EF4-FFF2-40B4-BE49-F238E27FC236}">
                  <a16:creationId xmlns:a16="http://schemas.microsoft.com/office/drawing/2014/main" id="{E6DE6583-42A5-DAB2-83FE-FD2203D3AAB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170EE2BE" w14:textId="1262644A" w:rsidR="000815B2" w:rsidRPr="000815B2" w:rsidRDefault="000815B2" w:rsidP="000815B2">
      <w:pPr>
        <w:spacing w:line="360" w:lineRule="auto"/>
        <w:jc w:val="right"/>
        <w:rPr>
          <w:rFonts w:ascii="Times New Roman" w:hAnsi="Times New Roman" w:cs="Times New Roman"/>
          <w:i/>
          <w:iCs/>
          <w:noProof/>
          <w:sz w:val="20"/>
          <w:szCs w:val="20"/>
        </w:rPr>
      </w:pPr>
      <w:r w:rsidRPr="00D875E2">
        <w:rPr>
          <w:rFonts w:ascii="Times New Roman" w:hAnsi="Times New Roman" w:cs="Times New Roman"/>
          <w:i/>
          <w:iCs/>
          <w:noProof/>
          <w:sz w:val="20"/>
          <w:szCs w:val="20"/>
        </w:rPr>
        <w:t xml:space="preserve">Zdroj: </w:t>
      </w:r>
      <w:r w:rsidR="00A63FE1" w:rsidRPr="00E7778D">
        <w:rPr>
          <w:rFonts w:ascii="Times New Roman" w:hAnsi="Times New Roman" w:cs="Times New Roman"/>
          <w:sz w:val="20"/>
          <w:szCs w:val="20"/>
        </w:rPr>
        <w:t>Finanční výkazy společnosti Mlékárna Kunín s.r.o. a jejích konkurentů, vlastní zpracování</w:t>
      </w:r>
    </w:p>
    <w:p w14:paraId="21099DCC" w14:textId="2CD2BD03" w:rsidR="002D410B" w:rsidRPr="002D410B" w:rsidRDefault="002D410B" w:rsidP="000815B2">
      <w:pPr>
        <w:spacing w:line="360" w:lineRule="auto"/>
        <w:ind w:firstLine="709"/>
        <w:jc w:val="both"/>
        <w:rPr>
          <w:rFonts w:ascii="Times New Roman" w:hAnsi="Times New Roman" w:cs="Times New Roman"/>
          <w:sz w:val="24"/>
          <w:szCs w:val="24"/>
        </w:rPr>
      </w:pPr>
      <w:r w:rsidRPr="002D410B">
        <w:rPr>
          <w:rFonts w:ascii="Times New Roman" w:hAnsi="Times New Roman" w:cs="Times New Roman"/>
          <w:sz w:val="24"/>
          <w:szCs w:val="24"/>
        </w:rPr>
        <w:t xml:space="preserve">Pro zjištění příčin tohoto trendu a pro vypracování strategie zvýšení rentability byl analyzován vliv ostatních ukazatelů na ROE pomocí </w:t>
      </w:r>
      <w:proofErr w:type="spellStart"/>
      <w:r w:rsidRPr="002D410B">
        <w:rPr>
          <w:rFonts w:ascii="Times New Roman" w:hAnsi="Times New Roman" w:cs="Times New Roman"/>
          <w:sz w:val="24"/>
          <w:szCs w:val="24"/>
        </w:rPr>
        <w:t>Du</w:t>
      </w:r>
      <w:proofErr w:type="spellEnd"/>
      <w:r w:rsidRPr="002D410B">
        <w:rPr>
          <w:rFonts w:ascii="Times New Roman" w:hAnsi="Times New Roman" w:cs="Times New Roman"/>
          <w:sz w:val="24"/>
          <w:szCs w:val="24"/>
        </w:rPr>
        <w:t xml:space="preserve"> </w:t>
      </w:r>
      <w:proofErr w:type="spellStart"/>
      <w:r w:rsidRPr="002D410B">
        <w:rPr>
          <w:rFonts w:ascii="Times New Roman" w:hAnsi="Times New Roman" w:cs="Times New Roman"/>
          <w:sz w:val="24"/>
          <w:szCs w:val="24"/>
        </w:rPr>
        <w:t>Pontovy</w:t>
      </w:r>
      <w:proofErr w:type="spellEnd"/>
      <w:r w:rsidRPr="002D410B">
        <w:rPr>
          <w:rFonts w:ascii="Times New Roman" w:hAnsi="Times New Roman" w:cs="Times New Roman"/>
          <w:sz w:val="24"/>
          <w:szCs w:val="24"/>
        </w:rPr>
        <w:t xml:space="preserve"> metody rozkladu ukazatelů. Analýza ukázala, že největší vliv na změnu ROE má zisková marže. V roce 2020/2021 však stojí za povšimnutí, že ačkoli zisková marže vykazovala malý, ale pozitivní trend, ROE se oproti předchozímu roku snížilo. Nejvýznamněji ke zhoršení ROE přispěl negativní vývoj obratu aktiv, což naznačuje, že společnost musí zlepšit efektivitu využití svých aktiv</w:t>
      </w:r>
      <w:r w:rsidR="000815B2">
        <w:rPr>
          <w:rFonts w:ascii="Times New Roman" w:hAnsi="Times New Roman" w:cs="Times New Roman"/>
          <w:sz w:val="24"/>
          <w:szCs w:val="24"/>
        </w:rPr>
        <w:t>.</w:t>
      </w:r>
    </w:p>
    <w:p w14:paraId="3DFA94C0" w14:textId="0647D66C" w:rsidR="00C56A10" w:rsidRDefault="002D410B" w:rsidP="002D410B">
      <w:pPr>
        <w:spacing w:line="360" w:lineRule="auto"/>
        <w:ind w:firstLine="709"/>
        <w:jc w:val="both"/>
        <w:rPr>
          <w:rFonts w:ascii="Times New Roman" w:hAnsi="Times New Roman" w:cs="Times New Roman"/>
          <w:sz w:val="24"/>
          <w:szCs w:val="24"/>
        </w:rPr>
      </w:pPr>
      <w:r w:rsidRPr="002D410B">
        <w:rPr>
          <w:rFonts w:ascii="Times New Roman" w:hAnsi="Times New Roman" w:cs="Times New Roman"/>
          <w:sz w:val="24"/>
          <w:szCs w:val="24"/>
        </w:rPr>
        <w:t>Z hlediska ROS vykazuje Mlékárna Kunín s.r.o. v posledních dvou letech zlepšení díky vyšším ziskům, což je v kontrastu s trendem pozorovaným u konkurence na trhu.</w:t>
      </w:r>
    </w:p>
    <w:p w14:paraId="107F1C85" w14:textId="4C9D7CF7" w:rsidR="00CF4C10" w:rsidRDefault="000815B2" w:rsidP="00B14596">
      <w:pPr>
        <w:spacing w:line="360" w:lineRule="auto"/>
        <w:ind w:firstLine="709"/>
        <w:jc w:val="both"/>
        <w:rPr>
          <w:rFonts w:ascii="Times New Roman" w:hAnsi="Times New Roman" w:cs="Times New Roman"/>
          <w:sz w:val="24"/>
          <w:szCs w:val="24"/>
        </w:rPr>
      </w:pPr>
      <w:r w:rsidRPr="000815B2">
        <w:rPr>
          <w:rFonts w:ascii="Times New Roman" w:hAnsi="Times New Roman" w:cs="Times New Roman"/>
          <w:sz w:val="24"/>
          <w:szCs w:val="24"/>
        </w:rPr>
        <w:t xml:space="preserve">Z předložené analýzy zadluženosti vyplývá, že společnost Mlékárna Kunín s.r.o. má poměrně příznivou míru celkové zadluženosti, která se pohybuje kolem 50 % a tento poměr má klesající tendenci, což je pozitivní znamení. </w:t>
      </w:r>
      <w:r w:rsidR="00207E57">
        <w:rPr>
          <w:rFonts w:ascii="Times New Roman" w:hAnsi="Times New Roman" w:cs="Times New Roman"/>
          <w:sz w:val="24"/>
          <w:szCs w:val="24"/>
        </w:rPr>
        <w:t>Z grafu č.2 je patrně, že c</w:t>
      </w:r>
      <w:r w:rsidRPr="000815B2">
        <w:rPr>
          <w:rFonts w:ascii="Times New Roman" w:hAnsi="Times New Roman" w:cs="Times New Roman"/>
          <w:sz w:val="24"/>
          <w:szCs w:val="24"/>
        </w:rPr>
        <w:t xml:space="preserve">izí zdroje financování </w:t>
      </w:r>
      <w:r w:rsidRPr="000815B2">
        <w:rPr>
          <w:rFonts w:ascii="Times New Roman" w:hAnsi="Times New Roman" w:cs="Times New Roman"/>
          <w:sz w:val="24"/>
          <w:szCs w:val="24"/>
        </w:rPr>
        <w:lastRenderedPageBreak/>
        <w:t>společnosti však v posledních pěti letech tvořily téměř výhradně krátkodobé zdroje, což vedlo k vysokému podílu krátkodobých závazků. To není podle údajů z literatury a odvětvových norem ideální struktura. Krátkodobé závazky společnosti byly nejvyšší v roce 2019 z důvodu evidence závazků z "cash poolingu" vůči mateřské společnosti Lactalis CZ, s.r.o.</w:t>
      </w:r>
    </w:p>
    <w:p w14:paraId="7C605B8B" w14:textId="15B25DD4" w:rsidR="00207E57" w:rsidRPr="00207E57" w:rsidRDefault="00207E57" w:rsidP="00207E57">
      <w:pPr>
        <w:pStyle w:val="Podnadpis"/>
        <w:rPr>
          <w:i w:val="0"/>
          <w:iCs/>
          <w:sz w:val="20"/>
          <w:szCs w:val="20"/>
        </w:rPr>
      </w:pPr>
      <w:r w:rsidRPr="00207E57">
        <w:rPr>
          <w:i w:val="0"/>
          <w:iCs/>
          <w:sz w:val="20"/>
          <w:szCs w:val="20"/>
        </w:rPr>
        <w:t xml:space="preserve">Graf </w:t>
      </w:r>
      <w:r>
        <w:rPr>
          <w:i w:val="0"/>
          <w:iCs/>
          <w:sz w:val="20"/>
          <w:szCs w:val="20"/>
        </w:rPr>
        <w:t>2</w:t>
      </w:r>
      <w:r w:rsidRPr="00207E57">
        <w:rPr>
          <w:i w:val="0"/>
          <w:iCs/>
          <w:sz w:val="20"/>
          <w:szCs w:val="20"/>
        </w:rPr>
        <w:t>: Struktura cizích zdrojů Mlékárny Kunín s.r.o.</w:t>
      </w:r>
    </w:p>
    <w:p w14:paraId="17A4D17F" w14:textId="77777777" w:rsidR="00207E57" w:rsidRPr="0037577F" w:rsidRDefault="00207E57" w:rsidP="00207E57">
      <w:pPr>
        <w:spacing w:line="360" w:lineRule="auto"/>
        <w:jc w:val="center"/>
        <w:rPr>
          <w:rFonts w:ascii="Times New Roman" w:hAnsi="Times New Roman" w:cs="Times New Roman"/>
          <w:sz w:val="24"/>
          <w:szCs w:val="24"/>
        </w:rPr>
      </w:pPr>
      <w:r>
        <w:rPr>
          <w:noProof/>
        </w:rPr>
        <w:drawing>
          <wp:inline distT="0" distB="0" distL="0" distR="0" wp14:anchorId="5A925027" wp14:editId="1D03C21D">
            <wp:extent cx="3352800" cy="1981200"/>
            <wp:effectExtent l="0" t="0" r="0" b="0"/>
            <wp:docPr id="50" name="Graf 50">
              <a:extLst xmlns:a="http://schemas.openxmlformats.org/drawingml/2006/main">
                <a:ext uri="{FF2B5EF4-FFF2-40B4-BE49-F238E27FC236}">
                  <a16:creationId xmlns:a16="http://schemas.microsoft.com/office/drawing/2014/main" id="{CCE352D0-9D14-8166-CB65-2EA74DA366E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03054623" w14:textId="127E5831" w:rsidR="00207E57" w:rsidRPr="00207E57" w:rsidRDefault="00207E57" w:rsidP="00207E57">
      <w:pPr>
        <w:pStyle w:val="Titulek"/>
        <w:keepNext/>
        <w:jc w:val="right"/>
        <w:rPr>
          <w:rFonts w:ascii="Times New Roman" w:hAnsi="Times New Roman" w:cs="Times New Roman"/>
          <w:color w:val="auto"/>
          <w:sz w:val="20"/>
          <w:szCs w:val="20"/>
        </w:rPr>
      </w:pPr>
      <w:bookmarkStart w:id="2" w:name="_Hlk126604360"/>
      <w:r w:rsidRPr="00D875E2">
        <w:rPr>
          <w:rFonts w:ascii="Times New Roman" w:hAnsi="Times New Roman" w:cs="Times New Roman"/>
          <w:color w:val="auto"/>
          <w:sz w:val="20"/>
          <w:szCs w:val="20"/>
        </w:rPr>
        <w:t xml:space="preserve">Zdroj: </w:t>
      </w:r>
      <w:bookmarkEnd w:id="2"/>
      <w:r w:rsidR="00A63FE1" w:rsidRPr="00377D7D">
        <w:rPr>
          <w:rFonts w:ascii="Times New Roman" w:hAnsi="Times New Roman" w:cs="Times New Roman"/>
          <w:color w:val="auto"/>
          <w:sz w:val="20"/>
          <w:szCs w:val="20"/>
        </w:rPr>
        <w:t xml:space="preserve">Finanční výkazy společnosti Mlékárna Kunín s.r.o., vlastní </w:t>
      </w:r>
      <w:r w:rsidR="00A63FE1">
        <w:rPr>
          <w:rFonts w:ascii="Times New Roman" w:hAnsi="Times New Roman" w:cs="Times New Roman"/>
          <w:color w:val="auto"/>
          <w:sz w:val="20"/>
          <w:szCs w:val="20"/>
        </w:rPr>
        <w:t>výpočty</w:t>
      </w:r>
    </w:p>
    <w:p w14:paraId="57D7D6BA" w14:textId="246BB629" w:rsidR="000815B2" w:rsidRDefault="000815B2" w:rsidP="000815B2">
      <w:pPr>
        <w:spacing w:line="360" w:lineRule="auto"/>
        <w:ind w:firstLine="709"/>
        <w:jc w:val="both"/>
        <w:rPr>
          <w:rFonts w:ascii="Times New Roman" w:hAnsi="Times New Roman" w:cs="Times New Roman"/>
          <w:sz w:val="24"/>
          <w:szCs w:val="24"/>
        </w:rPr>
      </w:pPr>
      <w:r w:rsidRPr="000815B2">
        <w:rPr>
          <w:rFonts w:ascii="Times New Roman" w:hAnsi="Times New Roman" w:cs="Times New Roman"/>
          <w:sz w:val="24"/>
          <w:szCs w:val="24"/>
        </w:rPr>
        <w:t>Při porovnání společnosti Mlékárna Kunín s.r.o. s konkurencí vykazuje nejnižší podíl dlouhodobé zadluženosti. Celková zadluženost společnosti je stále na vyšší úrovni než u většiny společností v odvětví.</w:t>
      </w:r>
    </w:p>
    <w:p w14:paraId="49EA71F0" w14:textId="2A9F0A5A" w:rsidR="000815B2" w:rsidRPr="000815B2" w:rsidRDefault="000815B2" w:rsidP="000815B2">
      <w:pPr>
        <w:pStyle w:val="Podnadpis"/>
        <w:rPr>
          <w:i w:val="0"/>
          <w:iCs/>
          <w:sz w:val="20"/>
          <w:szCs w:val="20"/>
        </w:rPr>
      </w:pPr>
      <w:bookmarkStart w:id="3" w:name="_Toc130489767"/>
      <w:r w:rsidRPr="000815B2">
        <w:rPr>
          <w:i w:val="0"/>
          <w:iCs/>
          <w:sz w:val="20"/>
          <w:szCs w:val="20"/>
        </w:rPr>
        <w:t xml:space="preserve">Graf </w:t>
      </w:r>
      <w:r w:rsidR="00207E57">
        <w:rPr>
          <w:i w:val="0"/>
          <w:iCs/>
          <w:sz w:val="20"/>
          <w:szCs w:val="20"/>
        </w:rPr>
        <w:t>3</w:t>
      </w:r>
      <w:r w:rsidRPr="000815B2">
        <w:rPr>
          <w:i w:val="0"/>
          <w:iCs/>
          <w:sz w:val="20"/>
          <w:szCs w:val="20"/>
        </w:rPr>
        <w:t>:</w:t>
      </w:r>
      <w:r w:rsidR="00207E57">
        <w:rPr>
          <w:i w:val="0"/>
          <w:iCs/>
          <w:sz w:val="20"/>
          <w:szCs w:val="20"/>
        </w:rPr>
        <w:t xml:space="preserve"> </w:t>
      </w:r>
      <w:r w:rsidRPr="000815B2">
        <w:rPr>
          <w:i w:val="0"/>
          <w:iCs/>
          <w:sz w:val="20"/>
          <w:szCs w:val="20"/>
        </w:rPr>
        <w:t>Celková zadluženost Mlékárny Kunin s.r.o. a konkurentů</w:t>
      </w:r>
      <w:bookmarkEnd w:id="3"/>
    </w:p>
    <w:p w14:paraId="4221DE1A" w14:textId="77777777" w:rsidR="000815B2" w:rsidRDefault="000815B2" w:rsidP="000815B2">
      <w:pPr>
        <w:spacing w:line="360" w:lineRule="auto"/>
        <w:jc w:val="center"/>
      </w:pPr>
      <w:r>
        <w:rPr>
          <w:noProof/>
        </w:rPr>
        <w:drawing>
          <wp:inline distT="0" distB="0" distL="0" distR="0" wp14:anchorId="7BD67542" wp14:editId="7A563805">
            <wp:extent cx="4352925" cy="2409825"/>
            <wp:effectExtent l="0" t="0" r="10160" b="12700"/>
            <wp:docPr id="4" name="Graf 4">
              <a:extLst xmlns:a="http://schemas.openxmlformats.org/drawingml/2006/main">
                <a:ext uri="{FF2B5EF4-FFF2-40B4-BE49-F238E27FC236}">
                  <a16:creationId xmlns:a16="http://schemas.microsoft.com/office/drawing/2014/main" id="{137B52B2-881D-6907-0077-AAE5B8ADF98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0B5EAB9E" w14:textId="3949DB5F" w:rsidR="000815B2" w:rsidRPr="000815B2" w:rsidRDefault="000815B2" w:rsidP="000815B2">
      <w:pPr>
        <w:pStyle w:val="Titulek"/>
        <w:keepNext/>
        <w:jc w:val="right"/>
        <w:rPr>
          <w:rFonts w:ascii="Times New Roman" w:hAnsi="Times New Roman" w:cs="Times New Roman"/>
          <w:color w:val="auto"/>
          <w:sz w:val="20"/>
          <w:szCs w:val="20"/>
        </w:rPr>
      </w:pPr>
      <w:r w:rsidRPr="00D875E2">
        <w:rPr>
          <w:rFonts w:ascii="Times New Roman" w:hAnsi="Times New Roman" w:cs="Times New Roman"/>
          <w:color w:val="auto"/>
          <w:sz w:val="20"/>
          <w:szCs w:val="20"/>
        </w:rPr>
        <w:t xml:space="preserve">Zdroj: </w:t>
      </w:r>
      <w:r w:rsidR="00A63FE1" w:rsidRPr="00E7778D">
        <w:rPr>
          <w:rFonts w:ascii="Times New Roman" w:hAnsi="Times New Roman" w:cs="Times New Roman"/>
          <w:color w:val="auto"/>
          <w:sz w:val="20"/>
          <w:szCs w:val="20"/>
        </w:rPr>
        <w:t>Finanční výkazy společnosti Mlékárna Kunín s.r.o. a jejích konkurentů, vlastní zpracování</w:t>
      </w:r>
    </w:p>
    <w:p w14:paraId="01739611" w14:textId="30573509" w:rsidR="000815B2" w:rsidRPr="000815B2" w:rsidRDefault="000815B2" w:rsidP="000815B2">
      <w:pPr>
        <w:spacing w:line="360" w:lineRule="auto"/>
        <w:ind w:firstLine="709"/>
        <w:jc w:val="both"/>
        <w:rPr>
          <w:rFonts w:ascii="Times New Roman" w:hAnsi="Times New Roman" w:cs="Times New Roman"/>
          <w:sz w:val="24"/>
          <w:szCs w:val="24"/>
        </w:rPr>
      </w:pPr>
      <w:r w:rsidRPr="000815B2">
        <w:rPr>
          <w:rFonts w:ascii="Times New Roman" w:hAnsi="Times New Roman" w:cs="Times New Roman"/>
          <w:sz w:val="24"/>
          <w:szCs w:val="24"/>
        </w:rPr>
        <w:t xml:space="preserve">Úrokové krytí Mlékárny Kunín s.r.o. a společností v tomto odvětví je v porovnání s normami doporučovanými v literatuře velmi vysoké. Společnost Moravia </w:t>
      </w:r>
      <w:proofErr w:type="spellStart"/>
      <w:r w:rsidRPr="000815B2">
        <w:rPr>
          <w:rFonts w:ascii="Times New Roman" w:hAnsi="Times New Roman" w:cs="Times New Roman"/>
          <w:sz w:val="24"/>
          <w:szCs w:val="24"/>
        </w:rPr>
        <w:t>Lacto</w:t>
      </w:r>
      <w:proofErr w:type="spellEnd"/>
      <w:r w:rsidRPr="000815B2">
        <w:rPr>
          <w:rFonts w:ascii="Times New Roman" w:hAnsi="Times New Roman" w:cs="Times New Roman"/>
          <w:sz w:val="24"/>
          <w:szCs w:val="24"/>
        </w:rPr>
        <w:t xml:space="preserve"> a.s. však v letech 2017-2018 vykazovala záporné hodnoty z důvodu negativních provozních výsledků a společnost OLMA a.s. v posledních dvou letech nevykazovala žádné úrokové náklady. Společnost Mlékárna </w:t>
      </w:r>
      <w:r w:rsidRPr="000815B2">
        <w:rPr>
          <w:rFonts w:ascii="Times New Roman" w:hAnsi="Times New Roman" w:cs="Times New Roman"/>
          <w:sz w:val="24"/>
          <w:szCs w:val="24"/>
        </w:rPr>
        <w:lastRenderedPageBreak/>
        <w:t>Kunín s.r.o. nevykázala v posledních dvou letech úrokové náklady jsou u této společnosti obecně nízké.</w:t>
      </w:r>
    </w:p>
    <w:p w14:paraId="0CF99DF1" w14:textId="79A8DE64" w:rsidR="000815B2" w:rsidRDefault="000815B2" w:rsidP="000815B2">
      <w:pPr>
        <w:spacing w:line="360" w:lineRule="auto"/>
        <w:ind w:firstLine="709"/>
        <w:jc w:val="both"/>
        <w:rPr>
          <w:rFonts w:ascii="Times New Roman" w:hAnsi="Times New Roman" w:cs="Times New Roman"/>
          <w:sz w:val="24"/>
          <w:szCs w:val="24"/>
        </w:rPr>
      </w:pPr>
      <w:r w:rsidRPr="000815B2">
        <w:rPr>
          <w:rFonts w:ascii="Times New Roman" w:hAnsi="Times New Roman" w:cs="Times New Roman"/>
          <w:sz w:val="24"/>
          <w:szCs w:val="24"/>
        </w:rPr>
        <w:t xml:space="preserve">Celkově lze </w:t>
      </w:r>
      <w:proofErr w:type="gramStart"/>
      <w:r w:rsidRPr="000815B2">
        <w:rPr>
          <w:rFonts w:ascii="Times New Roman" w:hAnsi="Times New Roman" w:cs="Times New Roman"/>
          <w:sz w:val="24"/>
          <w:szCs w:val="24"/>
        </w:rPr>
        <w:t>říci</w:t>
      </w:r>
      <w:proofErr w:type="gramEnd"/>
      <w:r w:rsidRPr="000815B2">
        <w:rPr>
          <w:rFonts w:ascii="Times New Roman" w:hAnsi="Times New Roman" w:cs="Times New Roman"/>
          <w:sz w:val="24"/>
          <w:szCs w:val="24"/>
        </w:rPr>
        <w:t>, že ačkoliv existují oblasti, které je třeba z hlediska struktury zadlužení zlepšit, společnost Mlékárna Kunín s.r.o. se jeví v relativně silné finanční pozici s klesajícím celkovým zadlužením a nízkými úrokovými náklady.</w:t>
      </w:r>
    </w:p>
    <w:p w14:paraId="0B2B48FC" w14:textId="7F5B1306" w:rsidR="004B2797" w:rsidRDefault="004B2797" w:rsidP="004B2797">
      <w:pPr>
        <w:spacing w:line="360" w:lineRule="auto"/>
        <w:ind w:firstLine="709"/>
        <w:jc w:val="both"/>
        <w:rPr>
          <w:rFonts w:ascii="Times New Roman" w:hAnsi="Times New Roman" w:cs="Times New Roman"/>
          <w:sz w:val="24"/>
          <w:szCs w:val="24"/>
        </w:rPr>
      </w:pPr>
      <w:r w:rsidRPr="004B2797">
        <w:rPr>
          <w:rFonts w:ascii="Times New Roman" w:hAnsi="Times New Roman" w:cs="Times New Roman"/>
          <w:sz w:val="24"/>
          <w:szCs w:val="24"/>
        </w:rPr>
        <w:t xml:space="preserve">Na základě předložené analýzy aktivity se zdá, že obrat aktiv je v pětiletém </w:t>
      </w:r>
      <w:r w:rsidR="003702E5" w:rsidRPr="004B2797">
        <w:rPr>
          <w:rFonts w:ascii="Times New Roman" w:hAnsi="Times New Roman" w:cs="Times New Roman"/>
          <w:sz w:val="24"/>
          <w:szCs w:val="24"/>
        </w:rPr>
        <w:t>období v</w:t>
      </w:r>
      <w:r w:rsidRPr="004B2797">
        <w:rPr>
          <w:rFonts w:ascii="Times New Roman" w:hAnsi="Times New Roman" w:cs="Times New Roman"/>
          <w:sz w:val="24"/>
          <w:szCs w:val="24"/>
        </w:rPr>
        <w:t xml:space="preserve"> porovnání s konkurencí vyšší. Společnost však potřebuje zlepšit obrátkovost zásob, neboť ta má v pětiletém období negativní trend.</w:t>
      </w:r>
    </w:p>
    <w:p w14:paraId="6692C575" w14:textId="06BE5171" w:rsidR="004B2797" w:rsidRPr="004B2797" w:rsidRDefault="004B2797" w:rsidP="004B2797">
      <w:pPr>
        <w:pStyle w:val="Podnadpis"/>
        <w:rPr>
          <w:i w:val="0"/>
          <w:iCs/>
          <w:sz w:val="20"/>
          <w:szCs w:val="20"/>
        </w:rPr>
      </w:pPr>
      <w:bookmarkStart w:id="4" w:name="_Toc128759029"/>
      <w:bookmarkStart w:id="5" w:name="_Toc130489679"/>
      <w:r w:rsidRPr="004B2797">
        <w:rPr>
          <w:i w:val="0"/>
          <w:iCs/>
          <w:sz w:val="20"/>
          <w:szCs w:val="20"/>
        </w:rPr>
        <w:t xml:space="preserve">Tabulka </w:t>
      </w:r>
      <w:proofErr w:type="gramStart"/>
      <w:r>
        <w:rPr>
          <w:i w:val="0"/>
          <w:iCs/>
          <w:sz w:val="20"/>
          <w:szCs w:val="20"/>
        </w:rPr>
        <w:t>2</w:t>
      </w:r>
      <w:r w:rsidRPr="004B2797">
        <w:rPr>
          <w:i w:val="0"/>
          <w:iCs/>
          <w:sz w:val="20"/>
          <w:szCs w:val="20"/>
        </w:rPr>
        <w:t>:Výsledky</w:t>
      </w:r>
      <w:proofErr w:type="gramEnd"/>
      <w:r w:rsidRPr="004B2797">
        <w:rPr>
          <w:i w:val="0"/>
          <w:iCs/>
          <w:sz w:val="20"/>
          <w:szCs w:val="20"/>
        </w:rPr>
        <w:t xml:space="preserve"> ukazatelů aktivity</w:t>
      </w:r>
      <w:bookmarkEnd w:id="4"/>
      <w:bookmarkEnd w:id="5"/>
    </w:p>
    <w:tbl>
      <w:tblPr>
        <w:tblStyle w:val="Svtltabulkasmkou1zvraznn3"/>
        <w:tblW w:w="7186" w:type="dxa"/>
        <w:jc w:val="center"/>
        <w:tblLook w:val="04A0" w:firstRow="1" w:lastRow="0" w:firstColumn="1" w:lastColumn="0" w:noHBand="0" w:noVBand="1"/>
      </w:tblPr>
      <w:tblGrid>
        <w:gridCol w:w="2451"/>
        <w:gridCol w:w="947"/>
        <w:gridCol w:w="947"/>
        <w:gridCol w:w="947"/>
        <w:gridCol w:w="947"/>
        <w:gridCol w:w="947"/>
      </w:tblGrid>
      <w:tr w:rsidR="004B2797" w:rsidRPr="00761E01" w14:paraId="47535D23" w14:textId="77777777" w:rsidTr="004B2797">
        <w:trPr>
          <w:cnfStyle w:val="100000000000" w:firstRow="1" w:lastRow="0" w:firstColumn="0" w:lastColumn="0" w:oddVBand="0" w:evenVBand="0" w:oddHBand="0" w:evenHBand="0" w:firstRowFirstColumn="0" w:firstRowLastColumn="0" w:lastRowFirstColumn="0" w:lastRowLastColumn="0"/>
          <w:trHeight w:val="204"/>
          <w:jc w:val="center"/>
        </w:trPr>
        <w:tc>
          <w:tcPr>
            <w:cnfStyle w:val="001000000000" w:firstRow="0" w:lastRow="0" w:firstColumn="1" w:lastColumn="0" w:oddVBand="0" w:evenVBand="0" w:oddHBand="0" w:evenHBand="0" w:firstRowFirstColumn="0" w:firstRowLastColumn="0" w:lastRowFirstColumn="0" w:lastRowLastColumn="0"/>
            <w:tcW w:w="2451" w:type="dxa"/>
            <w:noWrap/>
            <w:hideMark/>
          </w:tcPr>
          <w:p w14:paraId="27ADFBBD" w14:textId="77777777" w:rsidR="004B2797" w:rsidRPr="00761E01" w:rsidRDefault="004B2797" w:rsidP="004B09E7">
            <w:pPr>
              <w:rPr>
                <w:rFonts w:ascii="Calibri" w:eastAsia="Times New Roman" w:hAnsi="Calibri" w:cs="Calibri"/>
                <w:color w:val="000000"/>
                <w:lang w:eastAsia="cs-CZ"/>
              </w:rPr>
            </w:pPr>
            <w:r w:rsidRPr="00761E01">
              <w:rPr>
                <w:rFonts w:ascii="Calibri" w:eastAsia="Times New Roman" w:hAnsi="Calibri" w:cs="Calibri"/>
                <w:color w:val="000000"/>
                <w:lang w:eastAsia="cs-CZ"/>
              </w:rPr>
              <w:t> </w:t>
            </w:r>
          </w:p>
        </w:tc>
        <w:tc>
          <w:tcPr>
            <w:tcW w:w="947" w:type="dxa"/>
            <w:noWrap/>
            <w:hideMark/>
          </w:tcPr>
          <w:p w14:paraId="589F3A28" w14:textId="77777777" w:rsidR="004B2797" w:rsidRPr="00761E01" w:rsidRDefault="004B2797" w:rsidP="004B09E7">
            <w:pPr>
              <w:jc w:val="right"/>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cs-CZ"/>
              </w:rPr>
            </w:pPr>
            <w:r w:rsidRPr="00761E01">
              <w:rPr>
                <w:rFonts w:ascii="Calibri" w:eastAsia="Times New Roman" w:hAnsi="Calibri" w:cs="Calibri"/>
                <w:color w:val="000000"/>
                <w:lang w:eastAsia="cs-CZ"/>
              </w:rPr>
              <w:t>2017</w:t>
            </w:r>
          </w:p>
        </w:tc>
        <w:tc>
          <w:tcPr>
            <w:tcW w:w="947" w:type="dxa"/>
            <w:noWrap/>
            <w:hideMark/>
          </w:tcPr>
          <w:p w14:paraId="6F86E8B8" w14:textId="77777777" w:rsidR="004B2797" w:rsidRPr="00761E01" w:rsidRDefault="004B2797" w:rsidP="004B09E7">
            <w:pPr>
              <w:jc w:val="right"/>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cs-CZ"/>
              </w:rPr>
            </w:pPr>
            <w:r w:rsidRPr="00761E01">
              <w:rPr>
                <w:rFonts w:ascii="Calibri" w:eastAsia="Times New Roman" w:hAnsi="Calibri" w:cs="Calibri"/>
                <w:color w:val="000000"/>
                <w:lang w:eastAsia="cs-CZ"/>
              </w:rPr>
              <w:t>2018</w:t>
            </w:r>
          </w:p>
        </w:tc>
        <w:tc>
          <w:tcPr>
            <w:tcW w:w="947" w:type="dxa"/>
            <w:noWrap/>
            <w:hideMark/>
          </w:tcPr>
          <w:p w14:paraId="259AD308" w14:textId="77777777" w:rsidR="004B2797" w:rsidRPr="00761E01" w:rsidRDefault="004B2797" w:rsidP="004B09E7">
            <w:pPr>
              <w:jc w:val="right"/>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cs-CZ"/>
              </w:rPr>
            </w:pPr>
            <w:r w:rsidRPr="00761E01">
              <w:rPr>
                <w:rFonts w:ascii="Calibri" w:eastAsia="Times New Roman" w:hAnsi="Calibri" w:cs="Calibri"/>
                <w:color w:val="000000"/>
                <w:lang w:eastAsia="cs-CZ"/>
              </w:rPr>
              <w:t>2019</w:t>
            </w:r>
          </w:p>
        </w:tc>
        <w:tc>
          <w:tcPr>
            <w:tcW w:w="947" w:type="dxa"/>
            <w:noWrap/>
            <w:hideMark/>
          </w:tcPr>
          <w:p w14:paraId="3F9E9ADF" w14:textId="77777777" w:rsidR="004B2797" w:rsidRPr="00761E01" w:rsidRDefault="004B2797" w:rsidP="004B09E7">
            <w:pPr>
              <w:jc w:val="right"/>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cs-CZ"/>
              </w:rPr>
            </w:pPr>
            <w:r w:rsidRPr="00761E01">
              <w:rPr>
                <w:rFonts w:ascii="Calibri" w:eastAsia="Times New Roman" w:hAnsi="Calibri" w:cs="Calibri"/>
                <w:color w:val="000000"/>
                <w:lang w:eastAsia="cs-CZ"/>
              </w:rPr>
              <w:t>2020</w:t>
            </w:r>
          </w:p>
        </w:tc>
        <w:tc>
          <w:tcPr>
            <w:tcW w:w="947" w:type="dxa"/>
            <w:noWrap/>
            <w:hideMark/>
          </w:tcPr>
          <w:p w14:paraId="42A822FF" w14:textId="77777777" w:rsidR="004B2797" w:rsidRPr="00761E01" w:rsidRDefault="004B2797" w:rsidP="004B09E7">
            <w:pPr>
              <w:jc w:val="right"/>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cs-CZ"/>
              </w:rPr>
            </w:pPr>
            <w:r w:rsidRPr="00761E01">
              <w:rPr>
                <w:rFonts w:ascii="Calibri" w:eastAsia="Times New Roman" w:hAnsi="Calibri" w:cs="Calibri"/>
                <w:color w:val="000000"/>
                <w:lang w:eastAsia="cs-CZ"/>
              </w:rPr>
              <w:t>2021</w:t>
            </w:r>
          </w:p>
        </w:tc>
      </w:tr>
      <w:tr w:rsidR="004B2797" w:rsidRPr="00761E01" w14:paraId="07BD531B" w14:textId="77777777" w:rsidTr="004B2797">
        <w:trPr>
          <w:trHeight w:val="204"/>
          <w:jc w:val="center"/>
        </w:trPr>
        <w:tc>
          <w:tcPr>
            <w:cnfStyle w:val="001000000000" w:firstRow="0" w:lastRow="0" w:firstColumn="1" w:lastColumn="0" w:oddVBand="0" w:evenVBand="0" w:oddHBand="0" w:evenHBand="0" w:firstRowFirstColumn="0" w:firstRowLastColumn="0" w:lastRowFirstColumn="0" w:lastRowLastColumn="0"/>
            <w:tcW w:w="2451" w:type="dxa"/>
            <w:noWrap/>
            <w:hideMark/>
          </w:tcPr>
          <w:p w14:paraId="6428F303" w14:textId="77777777" w:rsidR="004B2797" w:rsidRPr="004B2797" w:rsidRDefault="004B2797" w:rsidP="004B09E7">
            <w:pPr>
              <w:rPr>
                <w:rFonts w:ascii="Calibri" w:eastAsia="Times New Roman" w:hAnsi="Calibri" w:cs="Calibri"/>
                <w:b w:val="0"/>
                <w:bCs w:val="0"/>
                <w:color w:val="000000"/>
                <w:lang w:eastAsia="cs-CZ"/>
              </w:rPr>
            </w:pPr>
            <w:r w:rsidRPr="004B2797">
              <w:rPr>
                <w:rFonts w:ascii="Calibri" w:eastAsia="Times New Roman" w:hAnsi="Calibri" w:cs="Calibri"/>
                <w:b w:val="0"/>
                <w:bCs w:val="0"/>
                <w:color w:val="000000"/>
                <w:lang w:eastAsia="cs-CZ"/>
              </w:rPr>
              <w:t>Obrat celkových aktiv</w:t>
            </w:r>
          </w:p>
        </w:tc>
        <w:tc>
          <w:tcPr>
            <w:tcW w:w="947" w:type="dxa"/>
            <w:noWrap/>
            <w:hideMark/>
          </w:tcPr>
          <w:p w14:paraId="11FF9821" w14:textId="77777777" w:rsidR="004B2797" w:rsidRPr="00761E01" w:rsidRDefault="004B2797" w:rsidP="004B09E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cs-CZ"/>
              </w:rPr>
            </w:pPr>
            <w:r w:rsidRPr="00761E01">
              <w:rPr>
                <w:rFonts w:ascii="Calibri" w:eastAsia="Times New Roman" w:hAnsi="Calibri" w:cs="Calibri"/>
                <w:color w:val="000000"/>
                <w:lang w:eastAsia="cs-CZ"/>
              </w:rPr>
              <w:t>2,52</w:t>
            </w:r>
          </w:p>
        </w:tc>
        <w:tc>
          <w:tcPr>
            <w:tcW w:w="947" w:type="dxa"/>
            <w:noWrap/>
            <w:hideMark/>
          </w:tcPr>
          <w:p w14:paraId="157BDBE5" w14:textId="77777777" w:rsidR="004B2797" w:rsidRPr="00761E01" w:rsidRDefault="004B2797" w:rsidP="004B09E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cs-CZ"/>
              </w:rPr>
            </w:pPr>
            <w:r w:rsidRPr="00761E01">
              <w:rPr>
                <w:rFonts w:ascii="Calibri" w:eastAsia="Times New Roman" w:hAnsi="Calibri" w:cs="Calibri"/>
                <w:color w:val="000000"/>
                <w:lang w:eastAsia="cs-CZ"/>
              </w:rPr>
              <w:t>2,37</w:t>
            </w:r>
          </w:p>
        </w:tc>
        <w:tc>
          <w:tcPr>
            <w:tcW w:w="947" w:type="dxa"/>
            <w:noWrap/>
            <w:hideMark/>
          </w:tcPr>
          <w:p w14:paraId="4BAF929E" w14:textId="77777777" w:rsidR="004B2797" w:rsidRPr="00761E01" w:rsidRDefault="004B2797" w:rsidP="004B09E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cs-CZ"/>
              </w:rPr>
            </w:pPr>
            <w:r w:rsidRPr="00761E01">
              <w:rPr>
                <w:rFonts w:ascii="Calibri" w:eastAsia="Times New Roman" w:hAnsi="Calibri" w:cs="Calibri"/>
                <w:color w:val="000000"/>
                <w:lang w:eastAsia="cs-CZ"/>
              </w:rPr>
              <w:t>2,26</w:t>
            </w:r>
          </w:p>
        </w:tc>
        <w:tc>
          <w:tcPr>
            <w:tcW w:w="947" w:type="dxa"/>
            <w:noWrap/>
            <w:hideMark/>
          </w:tcPr>
          <w:p w14:paraId="29989A9B" w14:textId="77777777" w:rsidR="004B2797" w:rsidRPr="00761E01" w:rsidRDefault="004B2797" w:rsidP="004B09E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cs-CZ"/>
              </w:rPr>
            </w:pPr>
            <w:r w:rsidRPr="00761E01">
              <w:rPr>
                <w:rFonts w:ascii="Calibri" w:eastAsia="Times New Roman" w:hAnsi="Calibri" w:cs="Calibri"/>
                <w:color w:val="000000"/>
                <w:lang w:eastAsia="cs-CZ"/>
              </w:rPr>
              <w:t>2,63</w:t>
            </w:r>
          </w:p>
        </w:tc>
        <w:tc>
          <w:tcPr>
            <w:tcW w:w="947" w:type="dxa"/>
            <w:noWrap/>
            <w:hideMark/>
          </w:tcPr>
          <w:p w14:paraId="5E6FF2AA" w14:textId="77777777" w:rsidR="004B2797" w:rsidRPr="00761E01" w:rsidRDefault="004B2797" w:rsidP="004B09E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cs-CZ"/>
              </w:rPr>
            </w:pPr>
            <w:r w:rsidRPr="00761E01">
              <w:rPr>
                <w:rFonts w:ascii="Calibri" w:eastAsia="Times New Roman" w:hAnsi="Calibri" w:cs="Calibri"/>
                <w:color w:val="000000"/>
                <w:lang w:eastAsia="cs-CZ"/>
              </w:rPr>
              <w:t>2,33</w:t>
            </w:r>
          </w:p>
        </w:tc>
      </w:tr>
      <w:tr w:rsidR="004B2797" w:rsidRPr="00761E01" w14:paraId="331822AB" w14:textId="77777777" w:rsidTr="004B2797">
        <w:trPr>
          <w:trHeight w:val="204"/>
          <w:jc w:val="center"/>
        </w:trPr>
        <w:tc>
          <w:tcPr>
            <w:cnfStyle w:val="001000000000" w:firstRow="0" w:lastRow="0" w:firstColumn="1" w:lastColumn="0" w:oddVBand="0" w:evenVBand="0" w:oddHBand="0" w:evenHBand="0" w:firstRowFirstColumn="0" w:firstRowLastColumn="0" w:lastRowFirstColumn="0" w:lastRowLastColumn="0"/>
            <w:tcW w:w="2451" w:type="dxa"/>
            <w:noWrap/>
            <w:hideMark/>
          </w:tcPr>
          <w:p w14:paraId="0529E324" w14:textId="77777777" w:rsidR="004B2797" w:rsidRPr="004B2797" w:rsidRDefault="004B2797" w:rsidP="004B09E7">
            <w:pPr>
              <w:rPr>
                <w:rFonts w:ascii="Calibri" w:eastAsia="Times New Roman" w:hAnsi="Calibri" w:cs="Calibri"/>
                <w:b w:val="0"/>
                <w:bCs w:val="0"/>
                <w:color w:val="000000"/>
                <w:lang w:eastAsia="cs-CZ"/>
              </w:rPr>
            </w:pPr>
            <w:r w:rsidRPr="004B2797">
              <w:rPr>
                <w:rFonts w:ascii="Calibri" w:eastAsia="Times New Roman" w:hAnsi="Calibri" w:cs="Calibri"/>
                <w:b w:val="0"/>
                <w:bCs w:val="0"/>
                <w:color w:val="000000"/>
                <w:lang w:eastAsia="cs-CZ"/>
              </w:rPr>
              <w:t>Obrat zásob</w:t>
            </w:r>
          </w:p>
        </w:tc>
        <w:tc>
          <w:tcPr>
            <w:tcW w:w="947" w:type="dxa"/>
            <w:noWrap/>
            <w:hideMark/>
          </w:tcPr>
          <w:p w14:paraId="32FB95A0" w14:textId="77777777" w:rsidR="004B2797" w:rsidRPr="00761E01" w:rsidRDefault="004B2797" w:rsidP="004B09E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cs-CZ"/>
              </w:rPr>
            </w:pPr>
            <w:r w:rsidRPr="00761E01">
              <w:rPr>
                <w:rFonts w:ascii="Calibri" w:eastAsia="Times New Roman" w:hAnsi="Calibri" w:cs="Calibri"/>
                <w:color w:val="000000"/>
                <w:lang w:eastAsia="cs-CZ"/>
              </w:rPr>
              <w:t>14,13</w:t>
            </w:r>
          </w:p>
        </w:tc>
        <w:tc>
          <w:tcPr>
            <w:tcW w:w="947" w:type="dxa"/>
            <w:noWrap/>
            <w:hideMark/>
          </w:tcPr>
          <w:p w14:paraId="78A7E1C7" w14:textId="77777777" w:rsidR="004B2797" w:rsidRPr="00761E01" w:rsidRDefault="004B2797" w:rsidP="004B09E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cs-CZ"/>
              </w:rPr>
            </w:pPr>
            <w:r w:rsidRPr="00761E01">
              <w:rPr>
                <w:rFonts w:ascii="Calibri" w:eastAsia="Times New Roman" w:hAnsi="Calibri" w:cs="Calibri"/>
                <w:color w:val="000000"/>
                <w:lang w:eastAsia="cs-CZ"/>
              </w:rPr>
              <w:t>14,22</w:t>
            </w:r>
          </w:p>
        </w:tc>
        <w:tc>
          <w:tcPr>
            <w:tcW w:w="947" w:type="dxa"/>
            <w:noWrap/>
            <w:hideMark/>
          </w:tcPr>
          <w:p w14:paraId="5B8D9A82" w14:textId="77777777" w:rsidR="004B2797" w:rsidRPr="00761E01" w:rsidRDefault="004B2797" w:rsidP="004B09E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cs-CZ"/>
              </w:rPr>
            </w:pPr>
            <w:r w:rsidRPr="00761E01">
              <w:rPr>
                <w:rFonts w:ascii="Calibri" w:eastAsia="Times New Roman" w:hAnsi="Calibri" w:cs="Calibri"/>
                <w:color w:val="000000"/>
                <w:lang w:eastAsia="cs-CZ"/>
              </w:rPr>
              <w:t>13,05</w:t>
            </w:r>
          </w:p>
        </w:tc>
        <w:tc>
          <w:tcPr>
            <w:tcW w:w="947" w:type="dxa"/>
            <w:noWrap/>
            <w:hideMark/>
          </w:tcPr>
          <w:p w14:paraId="626D59F2" w14:textId="77777777" w:rsidR="004B2797" w:rsidRPr="00761E01" w:rsidRDefault="004B2797" w:rsidP="004B09E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cs-CZ"/>
              </w:rPr>
            </w:pPr>
            <w:r w:rsidRPr="00761E01">
              <w:rPr>
                <w:rFonts w:ascii="Calibri" w:eastAsia="Times New Roman" w:hAnsi="Calibri" w:cs="Calibri"/>
                <w:color w:val="000000"/>
                <w:lang w:eastAsia="cs-CZ"/>
              </w:rPr>
              <w:t>13,18</w:t>
            </w:r>
          </w:p>
        </w:tc>
        <w:tc>
          <w:tcPr>
            <w:tcW w:w="947" w:type="dxa"/>
            <w:noWrap/>
            <w:hideMark/>
          </w:tcPr>
          <w:p w14:paraId="18208843" w14:textId="77777777" w:rsidR="004B2797" w:rsidRPr="00761E01" w:rsidRDefault="004B2797" w:rsidP="004B09E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cs-CZ"/>
              </w:rPr>
            </w:pPr>
            <w:r w:rsidRPr="00761E01">
              <w:rPr>
                <w:rFonts w:ascii="Calibri" w:eastAsia="Times New Roman" w:hAnsi="Calibri" w:cs="Calibri"/>
                <w:color w:val="000000"/>
                <w:lang w:eastAsia="cs-CZ"/>
              </w:rPr>
              <w:t>11,05</w:t>
            </w:r>
          </w:p>
        </w:tc>
      </w:tr>
      <w:tr w:rsidR="004B2797" w:rsidRPr="00761E01" w14:paraId="161D0830" w14:textId="77777777" w:rsidTr="004B2797">
        <w:trPr>
          <w:trHeight w:val="204"/>
          <w:jc w:val="center"/>
        </w:trPr>
        <w:tc>
          <w:tcPr>
            <w:cnfStyle w:val="001000000000" w:firstRow="0" w:lastRow="0" w:firstColumn="1" w:lastColumn="0" w:oddVBand="0" w:evenVBand="0" w:oddHBand="0" w:evenHBand="0" w:firstRowFirstColumn="0" w:firstRowLastColumn="0" w:lastRowFirstColumn="0" w:lastRowLastColumn="0"/>
            <w:tcW w:w="2451" w:type="dxa"/>
            <w:noWrap/>
            <w:hideMark/>
          </w:tcPr>
          <w:p w14:paraId="3FF6DA08" w14:textId="77777777" w:rsidR="004B2797" w:rsidRPr="004B2797" w:rsidRDefault="004B2797" w:rsidP="004B09E7">
            <w:pPr>
              <w:rPr>
                <w:rFonts w:ascii="Calibri" w:eastAsia="Times New Roman" w:hAnsi="Calibri" w:cs="Calibri"/>
                <w:b w:val="0"/>
                <w:bCs w:val="0"/>
                <w:color w:val="000000"/>
                <w:lang w:eastAsia="cs-CZ"/>
              </w:rPr>
            </w:pPr>
            <w:r w:rsidRPr="004B2797">
              <w:rPr>
                <w:rFonts w:ascii="Calibri" w:eastAsia="Times New Roman" w:hAnsi="Calibri" w:cs="Calibri"/>
                <w:b w:val="0"/>
                <w:bCs w:val="0"/>
                <w:color w:val="000000"/>
                <w:lang w:eastAsia="cs-CZ"/>
              </w:rPr>
              <w:t>Doba obratu zásob</w:t>
            </w:r>
          </w:p>
        </w:tc>
        <w:tc>
          <w:tcPr>
            <w:tcW w:w="947" w:type="dxa"/>
            <w:noWrap/>
            <w:hideMark/>
          </w:tcPr>
          <w:p w14:paraId="7C172B8F" w14:textId="77777777" w:rsidR="004B2797" w:rsidRPr="00761E01" w:rsidRDefault="004B2797" w:rsidP="004B09E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cs-CZ"/>
              </w:rPr>
            </w:pPr>
            <w:r w:rsidRPr="00761E01">
              <w:rPr>
                <w:rFonts w:ascii="Calibri" w:eastAsia="Times New Roman" w:hAnsi="Calibri" w:cs="Calibri"/>
                <w:color w:val="000000"/>
                <w:lang w:eastAsia="cs-CZ"/>
              </w:rPr>
              <w:t>25,84</w:t>
            </w:r>
          </w:p>
        </w:tc>
        <w:tc>
          <w:tcPr>
            <w:tcW w:w="947" w:type="dxa"/>
            <w:noWrap/>
            <w:hideMark/>
          </w:tcPr>
          <w:p w14:paraId="1FEF182B" w14:textId="77777777" w:rsidR="004B2797" w:rsidRPr="00761E01" w:rsidRDefault="004B2797" w:rsidP="004B09E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cs-CZ"/>
              </w:rPr>
            </w:pPr>
            <w:r w:rsidRPr="00761E01">
              <w:rPr>
                <w:rFonts w:ascii="Calibri" w:eastAsia="Times New Roman" w:hAnsi="Calibri" w:cs="Calibri"/>
                <w:color w:val="000000"/>
                <w:lang w:eastAsia="cs-CZ"/>
              </w:rPr>
              <w:t>25,67</w:t>
            </w:r>
          </w:p>
        </w:tc>
        <w:tc>
          <w:tcPr>
            <w:tcW w:w="947" w:type="dxa"/>
            <w:noWrap/>
            <w:hideMark/>
          </w:tcPr>
          <w:p w14:paraId="327EEFFB" w14:textId="77777777" w:rsidR="004B2797" w:rsidRPr="00761E01" w:rsidRDefault="004B2797" w:rsidP="004B09E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cs-CZ"/>
              </w:rPr>
            </w:pPr>
            <w:r w:rsidRPr="00761E01">
              <w:rPr>
                <w:rFonts w:ascii="Calibri" w:eastAsia="Times New Roman" w:hAnsi="Calibri" w:cs="Calibri"/>
                <w:color w:val="000000"/>
                <w:lang w:eastAsia="cs-CZ"/>
              </w:rPr>
              <w:t>27,96</w:t>
            </w:r>
          </w:p>
        </w:tc>
        <w:tc>
          <w:tcPr>
            <w:tcW w:w="947" w:type="dxa"/>
            <w:noWrap/>
            <w:hideMark/>
          </w:tcPr>
          <w:p w14:paraId="4AC9392A" w14:textId="77777777" w:rsidR="004B2797" w:rsidRPr="00761E01" w:rsidRDefault="004B2797" w:rsidP="004B09E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cs-CZ"/>
              </w:rPr>
            </w:pPr>
            <w:r w:rsidRPr="00761E01">
              <w:rPr>
                <w:rFonts w:ascii="Calibri" w:eastAsia="Times New Roman" w:hAnsi="Calibri" w:cs="Calibri"/>
                <w:color w:val="000000"/>
                <w:lang w:eastAsia="cs-CZ"/>
              </w:rPr>
              <w:t>27,70</w:t>
            </w:r>
          </w:p>
        </w:tc>
        <w:tc>
          <w:tcPr>
            <w:tcW w:w="947" w:type="dxa"/>
            <w:noWrap/>
            <w:hideMark/>
          </w:tcPr>
          <w:p w14:paraId="24A2D6F4" w14:textId="77777777" w:rsidR="004B2797" w:rsidRPr="00761E01" w:rsidRDefault="004B2797" w:rsidP="004B09E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cs-CZ"/>
              </w:rPr>
            </w:pPr>
            <w:r w:rsidRPr="00761E01">
              <w:rPr>
                <w:rFonts w:ascii="Calibri" w:eastAsia="Times New Roman" w:hAnsi="Calibri" w:cs="Calibri"/>
                <w:color w:val="000000"/>
                <w:lang w:eastAsia="cs-CZ"/>
              </w:rPr>
              <w:t>33,03</w:t>
            </w:r>
          </w:p>
        </w:tc>
      </w:tr>
      <w:tr w:rsidR="004B2797" w:rsidRPr="00761E01" w14:paraId="48300160" w14:textId="77777777" w:rsidTr="004B2797">
        <w:trPr>
          <w:trHeight w:val="204"/>
          <w:jc w:val="center"/>
        </w:trPr>
        <w:tc>
          <w:tcPr>
            <w:cnfStyle w:val="001000000000" w:firstRow="0" w:lastRow="0" w:firstColumn="1" w:lastColumn="0" w:oddVBand="0" w:evenVBand="0" w:oddHBand="0" w:evenHBand="0" w:firstRowFirstColumn="0" w:firstRowLastColumn="0" w:lastRowFirstColumn="0" w:lastRowLastColumn="0"/>
            <w:tcW w:w="2451" w:type="dxa"/>
            <w:noWrap/>
            <w:hideMark/>
          </w:tcPr>
          <w:p w14:paraId="72CFE018" w14:textId="77777777" w:rsidR="004B2797" w:rsidRPr="004B2797" w:rsidRDefault="004B2797" w:rsidP="004B09E7">
            <w:pPr>
              <w:rPr>
                <w:rFonts w:ascii="Calibri" w:eastAsia="Times New Roman" w:hAnsi="Calibri" w:cs="Calibri"/>
                <w:b w:val="0"/>
                <w:bCs w:val="0"/>
                <w:color w:val="000000"/>
                <w:lang w:eastAsia="cs-CZ"/>
              </w:rPr>
            </w:pPr>
            <w:r w:rsidRPr="004B2797">
              <w:rPr>
                <w:rFonts w:ascii="Calibri" w:eastAsia="Times New Roman" w:hAnsi="Calibri" w:cs="Calibri"/>
                <w:b w:val="0"/>
                <w:bCs w:val="0"/>
                <w:color w:val="000000"/>
                <w:lang w:eastAsia="cs-CZ"/>
              </w:rPr>
              <w:t xml:space="preserve">Doba obratu pohledávek </w:t>
            </w:r>
          </w:p>
        </w:tc>
        <w:tc>
          <w:tcPr>
            <w:tcW w:w="947" w:type="dxa"/>
            <w:noWrap/>
            <w:hideMark/>
          </w:tcPr>
          <w:p w14:paraId="2BD4DD93" w14:textId="77777777" w:rsidR="004B2797" w:rsidRPr="00761E01" w:rsidRDefault="004B2797" w:rsidP="004B09E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cs-CZ"/>
              </w:rPr>
            </w:pPr>
            <w:r w:rsidRPr="00761E01">
              <w:rPr>
                <w:rFonts w:ascii="Calibri" w:eastAsia="Times New Roman" w:hAnsi="Calibri" w:cs="Calibri"/>
                <w:color w:val="000000"/>
                <w:lang w:eastAsia="cs-CZ"/>
              </w:rPr>
              <w:t>47,88</w:t>
            </w:r>
          </w:p>
        </w:tc>
        <w:tc>
          <w:tcPr>
            <w:tcW w:w="947" w:type="dxa"/>
            <w:noWrap/>
            <w:hideMark/>
          </w:tcPr>
          <w:p w14:paraId="204516C3" w14:textId="77777777" w:rsidR="004B2797" w:rsidRPr="00761E01" w:rsidRDefault="004B2797" w:rsidP="004B09E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cs-CZ"/>
              </w:rPr>
            </w:pPr>
            <w:r w:rsidRPr="00761E01">
              <w:rPr>
                <w:rFonts w:ascii="Calibri" w:eastAsia="Times New Roman" w:hAnsi="Calibri" w:cs="Calibri"/>
                <w:color w:val="000000"/>
                <w:lang w:eastAsia="cs-CZ"/>
              </w:rPr>
              <w:t>46,59</w:t>
            </w:r>
          </w:p>
        </w:tc>
        <w:tc>
          <w:tcPr>
            <w:tcW w:w="947" w:type="dxa"/>
            <w:noWrap/>
            <w:hideMark/>
          </w:tcPr>
          <w:p w14:paraId="1586FFD3" w14:textId="77777777" w:rsidR="004B2797" w:rsidRPr="00761E01" w:rsidRDefault="004B2797" w:rsidP="004B09E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cs-CZ"/>
              </w:rPr>
            </w:pPr>
            <w:r w:rsidRPr="00761E01">
              <w:rPr>
                <w:rFonts w:ascii="Calibri" w:eastAsia="Times New Roman" w:hAnsi="Calibri" w:cs="Calibri"/>
                <w:color w:val="000000"/>
                <w:lang w:eastAsia="cs-CZ"/>
              </w:rPr>
              <w:t>53,20</w:t>
            </w:r>
          </w:p>
        </w:tc>
        <w:tc>
          <w:tcPr>
            <w:tcW w:w="947" w:type="dxa"/>
            <w:noWrap/>
            <w:hideMark/>
          </w:tcPr>
          <w:p w14:paraId="7710F1FA" w14:textId="77777777" w:rsidR="004B2797" w:rsidRPr="00761E01" w:rsidRDefault="004B2797" w:rsidP="004B09E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cs-CZ"/>
              </w:rPr>
            </w:pPr>
            <w:r w:rsidRPr="00761E01">
              <w:rPr>
                <w:rFonts w:ascii="Calibri" w:eastAsia="Times New Roman" w:hAnsi="Calibri" w:cs="Calibri"/>
                <w:color w:val="000000"/>
                <w:lang w:eastAsia="cs-CZ"/>
              </w:rPr>
              <w:t>23,23</w:t>
            </w:r>
          </w:p>
        </w:tc>
        <w:tc>
          <w:tcPr>
            <w:tcW w:w="947" w:type="dxa"/>
            <w:noWrap/>
            <w:hideMark/>
          </w:tcPr>
          <w:p w14:paraId="60200A17" w14:textId="77777777" w:rsidR="004B2797" w:rsidRPr="00761E01" w:rsidRDefault="004B2797" w:rsidP="004B09E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cs-CZ"/>
              </w:rPr>
            </w:pPr>
            <w:r w:rsidRPr="00761E01">
              <w:rPr>
                <w:rFonts w:ascii="Calibri" w:eastAsia="Times New Roman" w:hAnsi="Calibri" w:cs="Calibri"/>
                <w:color w:val="000000"/>
                <w:lang w:eastAsia="cs-CZ"/>
              </w:rPr>
              <w:t>35,63</w:t>
            </w:r>
          </w:p>
        </w:tc>
      </w:tr>
      <w:tr w:rsidR="004B2797" w:rsidRPr="00761E01" w14:paraId="41ADE931" w14:textId="77777777" w:rsidTr="004B2797">
        <w:trPr>
          <w:trHeight w:val="204"/>
          <w:jc w:val="center"/>
        </w:trPr>
        <w:tc>
          <w:tcPr>
            <w:cnfStyle w:val="001000000000" w:firstRow="0" w:lastRow="0" w:firstColumn="1" w:lastColumn="0" w:oddVBand="0" w:evenVBand="0" w:oddHBand="0" w:evenHBand="0" w:firstRowFirstColumn="0" w:firstRowLastColumn="0" w:lastRowFirstColumn="0" w:lastRowLastColumn="0"/>
            <w:tcW w:w="2451" w:type="dxa"/>
            <w:noWrap/>
            <w:hideMark/>
          </w:tcPr>
          <w:p w14:paraId="74B1A4BA" w14:textId="77777777" w:rsidR="004B2797" w:rsidRPr="004B2797" w:rsidRDefault="004B2797" w:rsidP="004B09E7">
            <w:pPr>
              <w:rPr>
                <w:rFonts w:ascii="Calibri" w:eastAsia="Times New Roman" w:hAnsi="Calibri" w:cs="Calibri"/>
                <w:b w:val="0"/>
                <w:bCs w:val="0"/>
                <w:color w:val="000000"/>
                <w:lang w:eastAsia="cs-CZ"/>
              </w:rPr>
            </w:pPr>
            <w:r w:rsidRPr="004B2797">
              <w:rPr>
                <w:rFonts w:ascii="Calibri" w:eastAsia="Times New Roman" w:hAnsi="Calibri" w:cs="Calibri"/>
                <w:b w:val="0"/>
                <w:bCs w:val="0"/>
                <w:color w:val="000000"/>
                <w:lang w:eastAsia="cs-CZ"/>
              </w:rPr>
              <w:t>Doba splácení závazků</w:t>
            </w:r>
          </w:p>
        </w:tc>
        <w:tc>
          <w:tcPr>
            <w:tcW w:w="947" w:type="dxa"/>
            <w:noWrap/>
            <w:hideMark/>
          </w:tcPr>
          <w:p w14:paraId="5E096024" w14:textId="77777777" w:rsidR="004B2797" w:rsidRPr="00761E01" w:rsidRDefault="004B2797" w:rsidP="004B09E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cs-CZ"/>
              </w:rPr>
            </w:pPr>
            <w:r w:rsidRPr="00761E01">
              <w:rPr>
                <w:rFonts w:ascii="Calibri" w:eastAsia="Times New Roman" w:hAnsi="Calibri" w:cs="Calibri"/>
                <w:color w:val="000000"/>
                <w:lang w:eastAsia="cs-CZ"/>
              </w:rPr>
              <w:t>86,86</w:t>
            </w:r>
          </w:p>
        </w:tc>
        <w:tc>
          <w:tcPr>
            <w:tcW w:w="947" w:type="dxa"/>
            <w:noWrap/>
            <w:hideMark/>
          </w:tcPr>
          <w:p w14:paraId="28BA2690" w14:textId="77777777" w:rsidR="004B2797" w:rsidRPr="00761E01" w:rsidRDefault="004B2797" w:rsidP="004B09E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cs-CZ"/>
              </w:rPr>
            </w:pPr>
            <w:r w:rsidRPr="00761E01">
              <w:rPr>
                <w:rFonts w:ascii="Calibri" w:eastAsia="Times New Roman" w:hAnsi="Calibri" w:cs="Calibri"/>
                <w:color w:val="000000"/>
                <w:lang w:eastAsia="cs-CZ"/>
              </w:rPr>
              <w:t>90,47</w:t>
            </w:r>
          </w:p>
        </w:tc>
        <w:tc>
          <w:tcPr>
            <w:tcW w:w="947" w:type="dxa"/>
            <w:noWrap/>
            <w:hideMark/>
          </w:tcPr>
          <w:p w14:paraId="086621DB" w14:textId="77777777" w:rsidR="004B2797" w:rsidRPr="00761E01" w:rsidRDefault="004B2797" w:rsidP="004B09E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cs-CZ"/>
              </w:rPr>
            </w:pPr>
            <w:r w:rsidRPr="00761E01">
              <w:rPr>
                <w:rFonts w:ascii="Calibri" w:eastAsia="Times New Roman" w:hAnsi="Calibri" w:cs="Calibri"/>
                <w:color w:val="000000"/>
                <w:lang w:eastAsia="cs-CZ"/>
              </w:rPr>
              <w:t>91,90</w:t>
            </w:r>
          </w:p>
        </w:tc>
        <w:tc>
          <w:tcPr>
            <w:tcW w:w="947" w:type="dxa"/>
            <w:noWrap/>
            <w:hideMark/>
          </w:tcPr>
          <w:p w14:paraId="512D833C" w14:textId="77777777" w:rsidR="004B2797" w:rsidRPr="00761E01" w:rsidRDefault="004B2797" w:rsidP="004B09E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cs-CZ"/>
              </w:rPr>
            </w:pPr>
            <w:r w:rsidRPr="00761E01">
              <w:rPr>
                <w:rFonts w:ascii="Calibri" w:eastAsia="Times New Roman" w:hAnsi="Calibri" w:cs="Calibri"/>
                <w:color w:val="000000"/>
                <w:lang w:eastAsia="cs-CZ"/>
              </w:rPr>
              <w:t>62,82</w:t>
            </w:r>
          </w:p>
        </w:tc>
        <w:tc>
          <w:tcPr>
            <w:tcW w:w="947" w:type="dxa"/>
            <w:noWrap/>
            <w:hideMark/>
          </w:tcPr>
          <w:p w14:paraId="5A1062DF" w14:textId="77777777" w:rsidR="004B2797" w:rsidRPr="00761E01" w:rsidRDefault="004B2797" w:rsidP="004B09E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cs-CZ"/>
              </w:rPr>
            </w:pPr>
            <w:r w:rsidRPr="00761E01">
              <w:rPr>
                <w:rFonts w:ascii="Calibri" w:eastAsia="Times New Roman" w:hAnsi="Calibri" w:cs="Calibri"/>
                <w:color w:val="000000"/>
                <w:lang w:eastAsia="cs-CZ"/>
              </w:rPr>
              <w:t>72,73</w:t>
            </w:r>
          </w:p>
        </w:tc>
      </w:tr>
      <w:tr w:rsidR="004B2797" w:rsidRPr="00761E01" w14:paraId="326BF2AE" w14:textId="77777777" w:rsidTr="004B2797">
        <w:trPr>
          <w:trHeight w:val="204"/>
          <w:jc w:val="center"/>
        </w:trPr>
        <w:tc>
          <w:tcPr>
            <w:cnfStyle w:val="001000000000" w:firstRow="0" w:lastRow="0" w:firstColumn="1" w:lastColumn="0" w:oddVBand="0" w:evenVBand="0" w:oddHBand="0" w:evenHBand="0" w:firstRowFirstColumn="0" w:firstRowLastColumn="0" w:lastRowFirstColumn="0" w:lastRowLastColumn="0"/>
            <w:tcW w:w="2451" w:type="dxa"/>
            <w:noWrap/>
            <w:hideMark/>
          </w:tcPr>
          <w:p w14:paraId="47D7D105" w14:textId="77777777" w:rsidR="004B2797" w:rsidRPr="004B2797" w:rsidRDefault="004B2797" w:rsidP="004B09E7">
            <w:pPr>
              <w:rPr>
                <w:rFonts w:ascii="Calibri" w:eastAsia="Times New Roman" w:hAnsi="Calibri" w:cs="Calibri"/>
                <w:b w:val="0"/>
                <w:bCs w:val="0"/>
                <w:color w:val="000000"/>
                <w:lang w:eastAsia="cs-CZ"/>
              </w:rPr>
            </w:pPr>
            <w:r w:rsidRPr="004B2797">
              <w:rPr>
                <w:rFonts w:ascii="Calibri" w:eastAsia="Times New Roman" w:hAnsi="Calibri" w:cs="Calibri"/>
                <w:b w:val="0"/>
                <w:bCs w:val="0"/>
                <w:color w:val="000000"/>
                <w:lang w:eastAsia="cs-CZ"/>
              </w:rPr>
              <w:t>Obchodní deficit</w:t>
            </w:r>
          </w:p>
        </w:tc>
        <w:tc>
          <w:tcPr>
            <w:tcW w:w="947" w:type="dxa"/>
            <w:noWrap/>
            <w:hideMark/>
          </w:tcPr>
          <w:p w14:paraId="3D7A8CF3" w14:textId="77777777" w:rsidR="004B2797" w:rsidRPr="00761E01" w:rsidRDefault="004B2797" w:rsidP="004B09E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cs-CZ"/>
              </w:rPr>
            </w:pPr>
            <w:r w:rsidRPr="00761E01">
              <w:rPr>
                <w:rFonts w:ascii="Calibri" w:eastAsia="Times New Roman" w:hAnsi="Calibri" w:cs="Calibri"/>
                <w:color w:val="000000"/>
                <w:lang w:eastAsia="cs-CZ"/>
              </w:rPr>
              <w:t>-38,98</w:t>
            </w:r>
          </w:p>
        </w:tc>
        <w:tc>
          <w:tcPr>
            <w:tcW w:w="947" w:type="dxa"/>
            <w:noWrap/>
            <w:hideMark/>
          </w:tcPr>
          <w:p w14:paraId="217E21D8" w14:textId="77777777" w:rsidR="004B2797" w:rsidRPr="00761E01" w:rsidRDefault="004B2797" w:rsidP="004B09E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cs-CZ"/>
              </w:rPr>
            </w:pPr>
            <w:r w:rsidRPr="00761E01">
              <w:rPr>
                <w:rFonts w:ascii="Calibri" w:eastAsia="Times New Roman" w:hAnsi="Calibri" w:cs="Calibri"/>
                <w:color w:val="000000"/>
                <w:lang w:eastAsia="cs-CZ"/>
              </w:rPr>
              <w:t>-43,88</w:t>
            </w:r>
          </w:p>
        </w:tc>
        <w:tc>
          <w:tcPr>
            <w:tcW w:w="947" w:type="dxa"/>
            <w:noWrap/>
            <w:hideMark/>
          </w:tcPr>
          <w:p w14:paraId="7EE50D98" w14:textId="77777777" w:rsidR="004B2797" w:rsidRPr="00761E01" w:rsidRDefault="004B2797" w:rsidP="004B09E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cs-CZ"/>
              </w:rPr>
            </w:pPr>
            <w:r w:rsidRPr="00761E01">
              <w:rPr>
                <w:rFonts w:ascii="Calibri" w:eastAsia="Times New Roman" w:hAnsi="Calibri" w:cs="Calibri"/>
                <w:color w:val="000000"/>
                <w:lang w:eastAsia="cs-CZ"/>
              </w:rPr>
              <w:t>-38,70</w:t>
            </w:r>
          </w:p>
        </w:tc>
        <w:tc>
          <w:tcPr>
            <w:tcW w:w="947" w:type="dxa"/>
            <w:noWrap/>
            <w:hideMark/>
          </w:tcPr>
          <w:p w14:paraId="34476DEA" w14:textId="77777777" w:rsidR="004B2797" w:rsidRPr="00761E01" w:rsidRDefault="004B2797" w:rsidP="004B09E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cs-CZ"/>
              </w:rPr>
            </w:pPr>
            <w:r w:rsidRPr="00761E01">
              <w:rPr>
                <w:rFonts w:ascii="Calibri" w:eastAsia="Times New Roman" w:hAnsi="Calibri" w:cs="Calibri"/>
                <w:color w:val="000000"/>
                <w:lang w:eastAsia="cs-CZ"/>
              </w:rPr>
              <w:t>-39,59</w:t>
            </w:r>
          </w:p>
        </w:tc>
        <w:tc>
          <w:tcPr>
            <w:tcW w:w="947" w:type="dxa"/>
            <w:noWrap/>
            <w:hideMark/>
          </w:tcPr>
          <w:p w14:paraId="335080DA" w14:textId="77777777" w:rsidR="004B2797" w:rsidRPr="00761E01" w:rsidRDefault="004B2797" w:rsidP="004B09E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cs-CZ"/>
              </w:rPr>
            </w:pPr>
            <w:r w:rsidRPr="00761E01">
              <w:rPr>
                <w:rFonts w:ascii="Calibri" w:eastAsia="Times New Roman" w:hAnsi="Calibri" w:cs="Calibri"/>
                <w:color w:val="000000"/>
                <w:lang w:eastAsia="cs-CZ"/>
              </w:rPr>
              <w:t>-37,10</w:t>
            </w:r>
          </w:p>
        </w:tc>
      </w:tr>
    </w:tbl>
    <w:p w14:paraId="6B7AF195" w14:textId="051F4386" w:rsidR="004B2797" w:rsidRPr="004B2797" w:rsidRDefault="004B2797" w:rsidP="004B2797">
      <w:pPr>
        <w:pStyle w:val="Titulek"/>
        <w:keepNext/>
        <w:jc w:val="right"/>
        <w:rPr>
          <w:rFonts w:ascii="Times New Roman" w:hAnsi="Times New Roman" w:cs="Times New Roman"/>
          <w:color w:val="auto"/>
          <w:sz w:val="20"/>
          <w:szCs w:val="20"/>
        </w:rPr>
      </w:pPr>
      <w:r w:rsidRPr="00D875E2">
        <w:rPr>
          <w:rFonts w:ascii="Times New Roman" w:hAnsi="Times New Roman" w:cs="Times New Roman"/>
          <w:color w:val="auto"/>
          <w:sz w:val="20"/>
          <w:szCs w:val="20"/>
        </w:rPr>
        <w:t xml:space="preserve">Zdroj: </w:t>
      </w:r>
      <w:r w:rsidR="00A63FE1" w:rsidRPr="00377D7D">
        <w:rPr>
          <w:rFonts w:ascii="Times New Roman" w:hAnsi="Times New Roman" w:cs="Times New Roman"/>
          <w:color w:val="auto"/>
          <w:sz w:val="20"/>
          <w:szCs w:val="20"/>
        </w:rPr>
        <w:t xml:space="preserve">Finanční výkazy společnosti Mlékárna Kunín s.r.o., vlastní </w:t>
      </w:r>
      <w:r w:rsidR="00A63FE1">
        <w:rPr>
          <w:rFonts w:ascii="Times New Roman" w:hAnsi="Times New Roman" w:cs="Times New Roman"/>
          <w:color w:val="auto"/>
          <w:sz w:val="20"/>
          <w:szCs w:val="20"/>
        </w:rPr>
        <w:t>výpočty</w:t>
      </w:r>
    </w:p>
    <w:p w14:paraId="1BD20569" w14:textId="206BC970" w:rsidR="004B2797" w:rsidRDefault="004B2797" w:rsidP="00CF4C10">
      <w:pPr>
        <w:spacing w:line="360" w:lineRule="auto"/>
        <w:ind w:firstLine="709"/>
        <w:jc w:val="both"/>
        <w:rPr>
          <w:rFonts w:ascii="Times New Roman" w:hAnsi="Times New Roman" w:cs="Times New Roman"/>
          <w:sz w:val="24"/>
          <w:szCs w:val="24"/>
        </w:rPr>
      </w:pPr>
      <w:r w:rsidRPr="004B2797">
        <w:rPr>
          <w:rFonts w:ascii="Times New Roman" w:hAnsi="Times New Roman" w:cs="Times New Roman"/>
          <w:sz w:val="24"/>
          <w:szCs w:val="24"/>
        </w:rPr>
        <w:t xml:space="preserve">Společnost také zaznamenala velké výkyvy v době obratu pohledávek a negativní trend v průměrné době obratu závazků až do roku 2020, kdy došlo ke zlepšení. Poměr mezi průměrnou dobou obratu pohledávek a závazků však zůstal nezměněn. Pro lepší pochopení celkového trendu by bylo užitečné porovnat tuto situaci s ostatními společnostmi v odvětví. Z hlediska deficitu obchodní bilance je na tom Mlékárna Kunín s.r.o. ve srovnání s Moravia </w:t>
      </w:r>
      <w:proofErr w:type="spellStart"/>
      <w:r w:rsidRPr="004B2797">
        <w:rPr>
          <w:rFonts w:ascii="Times New Roman" w:hAnsi="Times New Roman" w:cs="Times New Roman"/>
          <w:sz w:val="24"/>
          <w:szCs w:val="24"/>
        </w:rPr>
        <w:t>Lakto</w:t>
      </w:r>
      <w:proofErr w:type="spellEnd"/>
      <w:r w:rsidRPr="004B2797">
        <w:rPr>
          <w:rFonts w:ascii="Times New Roman" w:hAnsi="Times New Roman" w:cs="Times New Roman"/>
          <w:sz w:val="24"/>
          <w:szCs w:val="24"/>
        </w:rPr>
        <w:t xml:space="preserve"> a.s. lépe, ale stále má co zlepšovat.</w:t>
      </w:r>
    </w:p>
    <w:p w14:paraId="516BCCCA" w14:textId="2F9C4E54" w:rsidR="00B14596" w:rsidRDefault="00B14596" w:rsidP="00CF4C10">
      <w:pPr>
        <w:spacing w:line="360" w:lineRule="auto"/>
        <w:ind w:firstLine="709"/>
        <w:jc w:val="both"/>
        <w:rPr>
          <w:rFonts w:ascii="Times New Roman" w:hAnsi="Times New Roman" w:cs="Times New Roman"/>
          <w:sz w:val="24"/>
          <w:szCs w:val="24"/>
        </w:rPr>
      </w:pPr>
    </w:p>
    <w:p w14:paraId="1A75CA67" w14:textId="508B1E54" w:rsidR="00B14596" w:rsidRDefault="00B14596" w:rsidP="00CF4C10">
      <w:pPr>
        <w:spacing w:line="360" w:lineRule="auto"/>
        <w:ind w:firstLine="709"/>
        <w:jc w:val="both"/>
        <w:rPr>
          <w:rFonts w:ascii="Times New Roman" w:hAnsi="Times New Roman" w:cs="Times New Roman"/>
          <w:sz w:val="24"/>
          <w:szCs w:val="24"/>
        </w:rPr>
      </w:pPr>
    </w:p>
    <w:p w14:paraId="041749EC" w14:textId="739E01B7" w:rsidR="00B14596" w:rsidRDefault="00B14596" w:rsidP="00CF4C10">
      <w:pPr>
        <w:spacing w:line="360" w:lineRule="auto"/>
        <w:ind w:firstLine="709"/>
        <w:jc w:val="both"/>
        <w:rPr>
          <w:rFonts w:ascii="Times New Roman" w:hAnsi="Times New Roman" w:cs="Times New Roman"/>
          <w:sz w:val="24"/>
          <w:szCs w:val="24"/>
        </w:rPr>
      </w:pPr>
    </w:p>
    <w:p w14:paraId="0FB4C4E4" w14:textId="6CB540EE" w:rsidR="00B14596" w:rsidRDefault="00B14596" w:rsidP="00CF4C10">
      <w:pPr>
        <w:spacing w:line="360" w:lineRule="auto"/>
        <w:ind w:firstLine="709"/>
        <w:jc w:val="both"/>
        <w:rPr>
          <w:rFonts w:ascii="Times New Roman" w:hAnsi="Times New Roman" w:cs="Times New Roman"/>
          <w:sz w:val="24"/>
          <w:szCs w:val="24"/>
        </w:rPr>
      </w:pPr>
    </w:p>
    <w:p w14:paraId="0088D83C" w14:textId="753E046E" w:rsidR="00B14596" w:rsidRDefault="00B14596" w:rsidP="00CF4C10">
      <w:pPr>
        <w:spacing w:line="360" w:lineRule="auto"/>
        <w:ind w:firstLine="709"/>
        <w:jc w:val="both"/>
        <w:rPr>
          <w:rFonts w:ascii="Times New Roman" w:hAnsi="Times New Roman" w:cs="Times New Roman"/>
          <w:sz w:val="24"/>
          <w:szCs w:val="24"/>
        </w:rPr>
      </w:pPr>
    </w:p>
    <w:p w14:paraId="673CE11A" w14:textId="63F5CDFB" w:rsidR="00B14596" w:rsidRDefault="00B14596" w:rsidP="00CF4C10">
      <w:pPr>
        <w:spacing w:line="360" w:lineRule="auto"/>
        <w:ind w:firstLine="709"/>
        <w:jc w:val="both"/>
        <w:rPr>
          <w:rFonts w:ascii="Times New Roman" w:hAnsi="Times New Roman" w:cs="Times New Roman"/>
          <w:sz w:val="24"/>
          <w:szCs w:val="24"/>
        </w:rPr>
      </w:pPr>
    </w:p>
    <w:p w14:paraId="67EBF950" w14:textId="77777777" w:rsidR="003702E5" w:rsidRDefault="003702E5" w:rsidP="00CF4C10">
      <w:pPr>
        <w:spacing w:line="360" w:lineRule="auto"/>
        <w:ind w:firstLine="709"/>
        <w:jc w:val="both"/>
        <w:rPr>
          <w:rFonts w:ascii="Times New Roman" w:hAnsi="Times New Roman" w:cs="Times New Roman"/>
          <w:sz w:val="24"/>
          <w:szCs w:val="24"/>
        </w:rPr>
      </w:pPr>
    </w:p>
    <w:p w14:paraId="469D0492" w14:textId="77777777" w:rsidR="00B50FF2" w:rsidRDefault="00B50FF2" w:rsidP="00CF4C10">
      <w:pPr>
        <w:spacing w:line="360" w:lineRule="auto"/>
        <w:ind w:firstLine="709"/>
        <w:jc w:val="both"/>
        <w:rPr>
          <w:rFonts w:ascii="Times New Roman" w:hAnsi="Times New Roman" w:cs="Times New Roman"/>
          <w:sz w:val="24"/>
          <w:szCs w:val="24"/>
        </w:rPr>
      </w:pPr>
    </w:p>
    <w:p w14:paraId="3E21168F" w14:textId="7F192601" w:rsidR="00EC6E52" w:rsidRDefault="00EC6E52" w:rsidP="004B2797">
      <w:pPr>
        <w:pStyle w:val="Podnadpis"/>
        <w:rPr>
          <w:i w:val="0"/>
          <w:iCs/>
          <w:sz w:val="20"/>
          <w:szCs w:val="20"/>
        </w:rPr>
      </w:pPr>
      <w:bookmarkStart w:id="6" w:name="_Toc130489772"/>
    </w:p>
    <w:p w14:paraId="02D3EF06" w14:textId="77777777" w:rsidR="00276BE2" w:rsidRPr="00276BE2" w:rsidRDefault="00276BE2" w:rsidP="00276BE2"/>
    <w:p w14:paraId="73C013E9" w14:textId="217FC7CF" w:rsidR="004B2797" w:rsidRPr="004B2797" w:rsidRDefault="004B2797" w:rsidP="004B2797">
      <w:pPr>
        <w:pStyle w:val="Podnadpis"/>
        <w:rPr>
          <w:i w:val="0"/>
          <w:iCs/>
          <w:sz w:val="20"/>
          <w:szCs w:val="20"/>
        </w:rPr>
      </w:pPr>
      <w:r w:rsidRPr="004B2797">
        <w:rPr>
          <w:i w:val="0"/>
          <w:iCs/>
          <w:sz w:val="20"/>
          <w:szCs w:val="20"/>
        </w:rPr>
        <w:t xml:space="preserve">Graf </w:t>
      </w:r>
      <w:proofErr w:type="gramStart"/>
      <w:r w:rsidRPr="004B2797">
        <w:rPr>
          <w:i w:val="0"/>
          <w:iCs/>
          <w:sz w:val="20"/>
          <w:szCs w:val="20"/>
        </w:rPr>
        <w:t>4:Porovnání</w:t>
      </w:r>
      <w:proofErr w:type="gramEnd"/>
      <w:r w:rsidRPr="004B2797">
        <w:rPr>
          <w:i w:val="0"/>
          <w:iCs/>
          <w:sz w:val="20"/>
          <w:szCs w:val="20"/>
        </w:rPr>
        <w:t xml:space="preserve"> ukazatelů likvidity s odvětvím</w:t>
      </w:r>
      <w:bookmarkEnd w:id="6"/>
    </w:p>
    <w:p w14:paraId="2AC8C03E" w14:textId="77777777" w:rsidR="004B2797" w:rsidRDefault="004B2797" w:rsidP="004B2797">
      <w:pPr>
        <w:pStyle w:val="Titulek"/>
        <w:keepNext/>
        <w:jc w:val="center"/>
      </w:pPr>
      <w:r>
        <w:rPr>
          <w:noProof/>
        </w:rPr>
        <w:drawing>
          <wp:inline distT="0" distB="0" distL="0" distR="0" wp14:anchorId="4727A91D" wp14:editId="171FD14A">
            <wp:extent cx="4191000" cy="2371725"/>
            <wp:effectExtent l="0" t="0" r="0" b="9525"/>
            <wp:docPr id="7" name="Graf 7">
              <a:extLst xmlns:a="http://schemas.openxmlformats.org/drawingml/2006/main">
                <a:ext uri="{FF2B5EF4-FFF2-40B4-BE49-F238E27FC236}">
                  <a16:creationId xmlns:a16="http://schemas.microsoft.com/office/drawing/2014/main" id="{97662C64-D3D1-CB67-D0C8-58FF874B5B7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01B76591" w14:textId="5D7C1932" w:rsidR="004B2797" w:rsidRPr="004B2797" w:rsidRDefault="004B2797" w:rsidP="004B2797">
      <w:pPr>
        <w:pStyle w:val="Titulek"/>
        <w:keepNext/>
        <w:jc w:val="right"/>
        <w:rPr>
          <w:rFonts w:ascii="Times New Roman" w:hAnsi="Times New Roman" w:cs="Times New Roman"/>
          <w:color w:val="auto"/>
          <w:sz w:val="20"/>
          <w:szCs w:val="20"/>
        </w:rPr>
      </w:pPr>
      <w:r w:rsidRPr="00D875E2">
        <w:rPr>
          <w:rFonts w:ascii="Times New Roman" w:hAnsi="Times New Roman" w:cs="Times New Roman"/>
          <w:color w:val="auto"/>
          <w:sz w:val="20"/>
          <w:szCs w:val="20"/>
        </w:rPr>
        <w:t xml:space="preserve">Zdroj: </w:t>
      </w:r>
      <w:r w:rsidR="00A63FE1" w:rsidRPr="00E7778D">
        <w:rPr>
          <w:rFonts w:ascii="Times New Roman" w:hAnsi="Times New Roman" w:cs="Times New Roman"/>
          <w:color w:val="auto"/>
          <w:sz w:val="20"/>
          <w:szCs w:val="20"/>
        </w:rPr>
        <w:t>Finanční výkazy společnosti Mlékárna Kunín s.r.o. a jejích konkurentů, vlastní zpracování</w:t>
      </w:r>
    </w:p>
    <w:p w14:paraId="2E85D418" w14:textId="6A83B30C" w:rsidR="004B2797" w:rsidRPr="004B2797" w:rsidRDefault="004B2797" w:rsidP="004B2797">
      <w:pPr>
        <w:spacing w:line="360" w:lineRule="auto"/>
        <w:ind w:firstLine="709"/>
        <w:jc w:val="both"/>
        <w:rPr>
          <w:rFonts w:ascii="Times New Roman" w:hAnsi="Times New Roman" w:cs="Times New Roman"/>
          <w:sz w:val="24"/>
          <w:szCs w:val="24"/>
        </w:rPr>
      </w:pPr>
      <w:r w:rsidRPr="004B2797">
        <w:rPr>
          <w:rFonts w:ascii="Times New Roman" w:hAnsi="Times New Roman" w:cs="Times New Roman"/>
          <w:sz w:val="24"/>
          <w:szCs w:val="24"/>
        </w:rPr>
        <w:t>Na základě předložených výsledků likvidity</w:t>
      </w:r>
      <w:r>
        <w:rPr>
          <w:rFonts w:ascii="Times New Roman" w:hAnsi="Times New Roman" w:cs="Times New Roman"/>
          <w:sz w:val="24"/>
          <w:szCs w:val="24"/>
        </w:rPr>
        <w:t xml:space="preserve"> v grafu č.4</w:t>
      </w:r>
      <w:r w:rsidRPr="004B2797">
        <w:rPr>
          <w:rFonts w:ascii="Times New Roman" w:hAnsi="Times New Roman" w:cs="Times New Roman"/>
          <w:sz w:val="24"/>
          <w:szCs w:val="24"/>
        </w:rPr>
        <w:t xml:space="preserve"> se zdá, že společnost "Mlékárna Kunín s.r.o." čelí značným problémům s likviditou a může být považována za nesolventní. Ukazatele likvidity společnosti jsou hluboko pod obecně uznávanými doporučenými hodnotami a oběžná aktiva nepostačují ke krytí krátkodobých závazků. V roce 2019 byl ukazatel okamžité likvidity kriticky nízký v důsledku poklesu peněžních prostředků v pokladně, zatímco v roce 2020 došlo k určitému zlepšení díky poklesu závazků. Celkově jsou však výsledky likvidity společnosti nejen pod obecně uznávanými hodnotami, ale i pod hodnotami odvětví.</w:t>
      </w:r>
    </w:p>
    <w:p w14:paraId="2884A333" w14:textId="1A8388EA" w:rsidR="00E17DBC" w:rsidRDefault="004B2797" w:rsidP="00E17DBC">
      <w:pPr>
        <w:spacing w:line="360" w:lineRule="auto"/>
        <w:ind w:firstLine="709"/>
        <w:jc w:val="both"/>
        <w:rPr>
          <w:rFonts w:ascii="Times New Roman" w:hAnsi="Times New Roman" w:cs="Times New Roman"/>
          <w:sz w:val="24"/>
          <w:szCs w:val="24"/>
        </w:rPr>
      </w:pPr>
      <w:r w:rsidRPr="004B2797">
        <w:rPr>
          <w:rFonts w:ascii="Times New Roman" w:hAnsi="Times New Roman" w:cs="Times New Roman"/>
          <w:sz w:val="24"/>
          <w:szCs w:val="24"/>
        </w:rPr>
        <w:t>Při pohledu na čistý pracovní kapitál se navíc zdá, že aktiva společnosti jsou využívána neefektivně, neboť čistý pracovní kapitál má po celé analyzované období zápornou hodnotu. Zatímco v roce 2021 došlo k výraznému zlepšení čistého pracovního kapitálu, nízké hodnoty v letech 2017 až 2020 naznačují přetrvávající problémy.</w:t>
      </w:r>
    </w:p>
    <w:p w14:paraId="0E8318A7" w14:textId="49E67B2F" w:rsidR="00C56A10" w:rsidRPr="00ED2CD4" w:rsidRDefault="00E17DBC" w:rsidP="00ED2CD4">
      <w:pPr>
        <w:spacing w:line="360" w:lineRule="auto"/>
        <w:ind w:firstLine="709"/>
        <w:jc w:val="both"/>
        <w:rPr>
          <w:rFonts w:ascii="Times New Roman" w:hAnsi="Times New Roman" w:cs="Times New Roman"/>
          <w:sz w:val="24"/>
          <w:szCs w:val="24"/>
        </w:rPr>
      </w:pPr>
      <w:r w:rsidRPr="00E17DBC">
        <w:rPr>
          <w:rFonts w:ascii="Times New Roman" w:hAnsi="Times New Roman" w:cs="Times New Roman"/>
          <w:sz w:val="24"/>
          <w:szCs w:val="24"/>
        </w:rPr>
        <w:t xml:space="preserve">Na základě výsledků predikčních modelů to vypadá, že Mlékárna Kunín s.r.o. se posledních pět let pohybovala v šedé zóně, ale zejména v roce 2020 došlo k mírnému zlepšení výkonnosti. Z modelu IN99 vyplývá, že nejvyšší hodnotu má společnost v aktivitě, zatímco </w:t>
      </w:r>
      <w:proofErr w:type="spellStart"/>
      <w:r w:rsidRPr="00E17DBC">
        <w:rPr>
          <w:rFonts w:ascii="Times New Roman" w:hAnsi="Times New Roman" w:cs="Times New Roman"/>
          <w:sz w:val="24"/>
          <w:szCs w:val="24"/>
        </w:rPr>
        <w:t>Tafflerův</w:t>
      </w:r>
      <w:proofErr w:type="spellEnd"/>
      <w:r w:rsidRPr="00E17DBC">
        <w:rPr>
          <w:rFonts w:ascii="Times New Roman" w:hAnsi="Times New Roman" w:cs="Times New Roman"/>
          <w:sz w:val="24"/>
          <w:szCs w:val="24"/>
        </w:rPr>
        <w:t xml:space="preserve"> model přiřazuje jednotlivým ukazatelům váhy, aby vyvážil jejich důležitost. V roce 2019 se celková situace zhoršila, ale v následujícím roce došlo k výraznému skoku. Společnost není ztrátová, ale její oceňování doporučenou hodnotou může být příliš optimistické. Je důležité hodnotit společnost pomocí modelu v čase a při následném použití systému připustit nadhodnocení.</w:t>
      </w:r>
    </w:p>
    <w:p w14:paraId="56556987" w14:textId="52D4B79E" w:rsidR="00C56A10" w:rsidRDefault="00C56A10" w:rsidP="00C56A10"/>
    <w:p w14:paraId="25BE35FD" w14:textId="519606B0" w:rsidR="00C56A10" w:rsidRDefault="00CF4C10" w:rsidP="00C56A10">
      <w:r>
        <w:br w:type="page"/>
      </w:r>
    </w:p>
    <w:p w14:paraId="0D29EB80" w14:textId="77777777" w:rsidR="00C56A10" w:rsidRDefault="00C56A10" w:rsidP="00C56A10">
      <w:pPr>
        <w:pStyle w:val="Nadpis1"/>
      </w:pPr>
      <w:r>
        <w:lastRenderedPageBreak/>
        <w:t>Závěr</w:t>
      </w:r>
    </w:p>
    <w:p w14:paraId="1C3C5702" w14:textId="77777777" w:rsidR="00C56A10" w:rsidRDefault="00C56A10" w:rsidP="00C56A10">
      <w:pPr>
        <w:pStyle w:val="Zkladntextodsazen"/>
      </w:pPr>
    </w:p>
    <w:p w14:paraId="1C1303E9" w14:textId="77777777" w:rsidR="00ED2CD4" w:rsidRDefault="00ED2CD4" w:rsidP="00ED2CD4">
      <w:pPr>
        <w:spacing w:line="360" w:lineRule="auto"/>
        <w:ind w:firstLine="709"/>
        <w:jc w:val="both"/>
        <w:rPr>
          <w:rFonts w:ascii="Times New Roman" w:hAnsi="Times New Roman" w:cs="Times New Roman"/>
          <w:sz w:val="24"/>
          <w:szCs w:val="24"/>
        </w:rPr>
      </w:pPr>
      <w:r w:rsidRPr="00ED2CD4">
        <w:rPr>
          <w:rFonts w:ascii="Times New Roman" w:hAnsi="Times New Roman" w:cs="Times New Roman"/>
          <w:sz w:val="24"/>
          <w:szCs w:val="24"/>
        </w:rPr>
        <w:t>Navrhovaný systém hodnocení finanční situace společnosti Mlékárna Kunin s.r.o. je komplexním přístupem, který využívá klasickou poměrovou analýzu, prvky vertikální a horizontální analýzy rozvahy a výkazu zisku a ztráty</w:t>
      </w:r>
      <w:r>
        <w:rPr>
          <w:rFonts w:ascii="Times New Roman" w:hAnsi="Times New Roman" w:cs="Times New Roman"/>
          <w:sz w:val="24"/>
          <w:szCs w:val="24"/>
        </w:rPr>
        <w:t xml:space="preserve">, </w:t>
      </w:r>
      <w:r w:rsidRPr="00ED2CD4">
        <w:rPr>
          <w:rFonts w:ascii="Times New Roman" w:hAnsi="Times New Roman" w:cs="Times New Roman"/>
          <w:sz w:val="24"/>
          <w:szCs w:val="24"/>
        </w:rPr>
        <w:t>bankrotní modely</w:t>
      </w:r>
      <w:r>
        <w:rPr>
          <w:rFonts w:ascii="Times New Roman" w:hAnsi="Times New Roman" w:cs="Times New Roman"/>
          <w:sz w:val="24"/>
          <w:szCs w:val="24"/>
        </w:rPr>
        <w:t xml:space="preserve"> </w:t>
      </w:r>
      <w:r w:rsidRPr="00ED2CD4">
        <w:rPr>
          <w:rFonts w:ascii="Times New Roman" w:hAnsi="Times New Roman" w:cs="Times New Roman"/>
          <w:sz w:val="24"/>
          <w:szCs w:val="24"/>
        </w:rPr>
        <w:t>a porovnává podnik s odvětvím, aby bylo možné sledovat jeho absolutní a relativní úspěšnost.</w:t>
      </w:r>
    </w:p>
    <w:p w14:paraId="2089C887" w14:textId="77777777" w:rsidR="00ED2CD4" w:rsidRDefault="00ED2CD4" w:rsidP="00ED2CD4">
      <w:pPr>
        <w:spacing w:line="360" w:lineRule="auto"/>
        <w:ind w:firstLine="709"/>
        <w:jc w:val="both"/>
        <w:rPr>
          <w:rFonts w:ascii="Times New Roman" w:hAnsi="Times New Roman" w:cs="Times New Roman"/>
          <w:sz w:val="24"/>
          <w:szCs w:val="24"/>
        </w:rPr>
      </w:pPr>
      <w:r w:rsidRPr="00DA6487">
        <w:rPr>
          <w:rFonts w:ascii="Times New Roman" w:hAnsi="Times New Roman" w:cs="Times New Roman"/>
          <w:sz w:val="24"/>
          <w:szCs w:val="24"/>
        </w:rPr>
        <w:t xml:space="preserve">Zásadním problémem podniku se ukázala špatná likvidita a vysoký podíl závazků. Z tohoto důvodu byly použity následující ukazatele, které mají tyto hodnoty sledovat: </w:t>
      </w:r>
    </w:p>
    <w:p w14:paraId="60DEB670" w14:textId="77777777" w:rsidR="00ED2CD4" w:rsidRDefault="00ED2CD4" w:rsidP="00ED2CD4">
      <w:pPr>
        <w:pStyle w:val="Odstavecseseznamem"/>
        <w:numPr>
          <w:ilvl w:val="0"/>
          <w:numId w:val="3"/>
        </w:numPr>
        <w:spacing w:line="360" w:lineRule="auto"/>
        <w:jc w:val="both"/>
        <w:rPr>
          <w:rFonts w:ascii="Times New Roman" w:hAnsi="Times New Roman" w:cs="Times New Roman"/>
          <w:sz w:val="24"/>
          <w:szCs w:val="24"/>
        </w:rPr>
      </w:pPr>
      <w:r w:rsidRPr="00DA6487">
        <w:rPr>
          <w:rFonts w:ascii="Times New Roman" w:hAnsi="Times New Roman" w:cs="Times New Roman"/>
          <w:sz w:val="24"/>
          <w:szCs w:val="24"/>
        </w:rPr>
        <w:t>ukazatele rentability (ROA, ROE a ROS</w:t>
      </w:r>
      <w:r>
        <w:rPr>
          <w:rFonts w:ascii="Times New Roman" w:hAnsi="Times New Roman" w:cs="Times New Roman"/>
          <w:sz w:val="24"/>
          <w:szCs w:val="24"/>
        </w:rPr>
        <w:t>)</w:t>
      </w:r>
      <w:r>
        <w:rPr>
          <w:rFonts w:ascii="Times New Roman" w:hAnsi="Times New Roman" w:cs="Times New Roman"/>
          <w:sz w:val="24"/>
          <w:szCs w:val="24"/>
          <w:lang w:val="en-US"/>
        </w:rPr>
        <w:t>;</w:t>
      </w:r>
    </w:p>
    <w:p w14:paraId="5B09C6E5" w14:textId="77777777" w:rsidR="00ED2CD4" w:rsidRDefault="00ED2CD4" w:rsidP="00ED2CD4">
      <w:pPr>
        <w:pStyle w:val="Odstavecseseznamem"/>
        <w:numPr>
          <w:ilvl w:val="0"/>
          <w:numId w:val="3"/>
        </w:numPr>
        <w:spacing w:line="360" w:lineRule="auto"/>
        <w:jc w:val="both"/>
        <w:rPr>
          <w:rFonts w:ascii="Times New Roman" w:hAnsi="Times New Roman" w:cs="Times New Roman"/>
          <w:sz w:val="24"/>
          <w:szCs w:val="24"/>
        </w:rPr>
      </w:pPr>
      <w:r w:rsidRPr="00DA6487">
        <w:rPr>
          <w:rFonts w:ascii="Times New Roman" w:hAnsi="Times New Roman" w:cs="Times New Roman"/>
          <w:sz w:val="24"/>
          <w:szCs w:val="24"/>
        </w:rPr>
        <w:t>ukazatele zadluženosti, které zahrnují rozbor zdrojů financování společnosti</w:t>
      </w:r>
      <w:r>
        <w:rPr>
          <w:rFonts w:ascii="Times New Roman" w:hAnsi="Times New Roman" w:cs="Times New Roman"/>
          <w:sz w:val="24"/>
          <w:szCs w:val="24"/>
        </w:rPr>
        <w:t>, celkovou a krátkodobou zadluženosti</w:t>
      </w:r>
      <w:r w:rsidRPr="00DA6487">
        <w:rPr>
          <w:rFonts w:ascii="Times New Roman" w:hAnsi="Times New Roman" w:cs="Times New Roman"/>
          <w:sz w:val="24"/>
          <w:szCs w:val="24"/>
        </w:rPr>
        <w:t xml:space="preserve"> a analýzu úrokového krytí a zatížení;</w:t>
      </w:r>
    </w:p>
    <w:p w14:paraId="212021B9" w14:textId="77777777" w:rsidR="00ED2CD4" w:rsidRPr="00DA6487" w:rsidRDefault="00ED2CD4" w:rsidP="00ED2CD4">
      <w:pPr>
        <w:pStyle w:val="Odstavecseseznamem"/>
        <w:numPr>
          <w:ilvl w:val="0"/>
          <w:numId w:val="3"/>
        </w:numPr>
        <w:spacing w:line="360" w:lineRule="auto"/>
        <w:jc w:val="both"/>
        <w:rPr>
          <w:rFonts w:ascii="Times New Roman" w:hAnsi="Times New Roman" w:cs="Times New Roman"/>
          <w:sz w:val="24"/>
          <w:szCs w:val="24"/>
        </w:rPr>
      </w:pPr>
      <w:r w:rsidRPr="00DA6487">
        <w:rPr>
          <w:rFonts w:ascii="Times New Roman" w:hAnsi="Times New Roman" w:cs="Times New Roman"/>
          <w:sz w:val="24"/>
          <w:szCs w:val="24"/>
        </w:rPr>
        <w:t>ukazatele aktivity, a to obrat celkových aktiv a zásob, doba obratu zásob, závazků, pohledávek a obchodní deficit;</w:t>
      </w:r>
    </w:p>
    <w:p w14:paraId="68BA8A93" w14:textId="77777777" w:rsidR="00ED2CD4" w:rsidRPr="00DA6487" w:rsidRDefault="00ED2CD4" w:rsidP="00ED2CD4">
      <w:pPr>
        <w:pStyle w:val="Odstavecseseznamem"/>
        <w:numPr>
          <w:ilvl w:val="0"/>
          <w:numId w:val="3"/>
        </w:numPr>
        <w:spacing w:line="360" w:lineRule="auto"/>
        <w:jc w:val="both"/>
        <w:rPr>
          <w:rFonts w:ascii="Times New Roman" w:hAnsi="Times New Roman" w:cs="Times New Roman"/>
          <w:sz w:val="24"/>
          <w:szCs w:val="24"/>
        </w:rPr>
      </w:pPr>
      <w:r w:rsidRPr="00DA6487">
        <w:rPr>
          <w:rFonts w:ascii="Times New Roman" w:hAnsi="Times New Roman" w:cs="Times New Roman"/>
          <w:sz w:val="24"/>
          <w:szCs w:val="24"/>
        </w:rPr>
        <w:t>ukazatele likvidity, jako jsou běžná, pohotová a hotovostní a čistý pracovní kapitál</w:t>
      </w:r>
      <w:r>
        <w:rPr>
          <w:rFonts w:ascii="Times New Roman" w:hAnsi="Times New Roman" w:cs="Times New Roman"/>
          <w:sz w:val="24"/>
          <w:szCs w:val="24"/>
        </w:rPr>
        <w:t>.</w:t>
      </w:r>
    </w:p>
    <w:p w14:paraId="0FCC0136" w14:textId="4734DA15" w:rsidR="00ED2CD4" w:rsidRPr="00ED2CD4" w:rsidRDefault="00ED2CD4" w:rsidP="00ED2CD4">
      <w:pPr>
        <w:spacing w:line="360" w:lineRule="auto"/>
        <w:ind w:firstLine="709"/>
        <w:jc w:val="both"/>
        <w:rPr>
          <w:rFonts w:ascii="Times New Roman" w:hAnsi="Times New Roman" w:cs="Times New Roman"/>
          <w:sz w:val="24"/>
          <w:szCs w:val="24"/>
        </w:rPr>
      </w:pPr>
      <w:r w:rsidRPr="00ED2CD4">
        <w:rPr>
          <w:rFonts w:ascii="Times New Roman" w:hAnsi="Times New Roman" w:cs="Times New Roman"/>
          <w:sz w:val="24"/>
          <w:szCs w:val="24"/>
        </w:rPr>
        <w:t xml:space="preserve"> Užitečným doplňkem hodnotícího systému je také použití bankrotních modelů, jako je Index 99 a </w:t>
      </w:r>
      <w:proofErr w:type="spellStart"/>
      <w:r w:rsidRPr="00ED2CD4">
        <w:rPr>
          <w:rFonts w:ascii="Times New Roman" w:hAnsi="Times New Roman" w:cs="Times New Roman"/>
          <w:sz w:val="24"/>
          <w:szCs w:val="24"/>
        </w:rPr>
        <w:t>Tafflerův</w:t>
      </w:r>
      <w:proofErr w:type="spellEnd"/>
      <w:r w:rsidRPr="00ED2CD4">
        <w:rPr>
          <w:rFonts w:ascii="Times New Roman" w:hAnsi="Times New Roman" w:cs="Times New Roman"/>
          <w:sz w:val="24"/>
          <w:szCs w:val="24"/>
        </w:rPr>
        <w:t xml:space="preserve"> model.</w:t>
      </w:r>
      <w:r>
        <w:rPr>
          <w:rFonts w:ascii="Times New Roman" w:hAnsi="Times New Roman" w:cs="Times New Roman"/>
          <w:sz w:val="24"/>
          <w:szCs w:val="24"/>
        </w:rPr>
        <w:t xml:space="preserve"> </w:t>
      </w:r>
      <w:r w:rsidRPr="00ED2CD4">
        <w:rPr>
          <w:rFonts w:ascii="Times New Roman" w:hAnsi="Times New Roman" w:cs="Times New Roman"/>
          <w:sz w:val="24"/>
          <w:szCs w:val="24"/>
        </w:rPr>
        <w:t>Účinnost modelu však může být sporná, zejména v případech, kdy jsou ukazatele likvidity kriticky nízké, a vysoká hodnota přisuzovaná aktivitě nemusí vždy odrážet skutečnou situaci podniku. Je důležité posuzovat hodnoty modelů v delším časovém období a při další aplikaci zohlednit nadhodnocené hodnoty.</w:t>
      </w:r>
    </w:p>
    <w:p w14:paraId="51E2A278" w14:textId="519F209C" w:rsidR="00C56A10" w:rsidRDefault="00ED2CD4" w:rsidP="00ED2CD4">
      <w:pPr>
        <w:spacing w:line="360" w:lineRule="auto"/>
        <w:ind w:firstLine="709"/>
        <w:jc w:val="both"/>
        <w:rPr>
          <w:rFonts w:ascii="Times New Roman" w:hAnsi="Times New Roman" w:cs="Times New Roman"/>
          <w:sz w:val="24"/>
          <w:szCs w:val="24"/>
        </w:rPr>
      </w:pPr>
      <w:r w:rsidRPr="00ED2CD4">
        <w:rPr>
          <w:rFonts w:ascii="Times New Roman" w:hAnsi="Times New Roman" w:cs="Times New Roman"/>
          <w:sz w:val="24"/>
          <w:szCs w:val="24"/>
        </w:rPr>
        <w:t>Celkově se navržený systém hodnocení pro společnost Mlékárna Kunin s.r.o. jeví jako vhodný a funkční a mohl by být aplikován i na jiné podniky v různých odvětvích s upravenými hodnotami ukazatelů, které odrážejí úroveň konkurence.</w:t>
      </w:r>
    </w:p>
    <w:p w14:paraId="60B2D75D" w14:textId="47FCEAB1" w:rsidR="00ED2CD4" w:rsidRDefault="00ED2CD4" w:rsidP="00ED2CD4">
      <w:pPr>
        <w:spacing w:line="360" w:lineRule="auto"/>
        <w:ind w:firstLine="709"/>
        <w:jc w:val="both"/>
        <w:rPr>
          <w:rFonts w:ascii="Times New Roman" w:hAnsi="Times New Roman" w:cs="Times New Roman"/>
          <w:sz w:val="24"/>
          <w:szCs w:val="24"/>
        </w:rPr>
      </w:pPr>
    </w:p>
    <w:p w14:paraId="4CC47552" w14:textId="27D5AFA5" w:rsidR="00ED2CD4" w:rsidRDefault="00ED2CD4" w:rsidP="00ED2CD4">
      <w:pPr>
        <w:spacing w:line="360" w:lineRule="auto"/>
        <w:ind w:firstLine="709"/>
        <w:jc w:val="both"/>
        <w:rPr>
          <w:rFonts w:ascii="Times New Roman" w:hAnsi="Times New Roman" w:cs="Times New Roman"/>
          <w:sz w:val="24"/>
          <w:szCs w:val="24"/>
        </w:rPr>
      </w:pPr>
    </w:p>
    <w:p w14:paraId="4BC01326" w14:textId="22AB7A37" w:rsidR="00ED2CD4" w:rsidRDefault="00ED2CD4" w:rsidP="00ED2CD4">
      <w:pPr>
        <w:spacing w:line="360" w:lineRule="auto"/>
        <w:ind w:firstLine="709"/>
        <w:jc w:val="both"/>
        <w:rPr>
          <w:rFonts w:ascii="Times New Roman" w:hAnsi="Times New Roman" w:cs="Times New Roman"/>
          <w:sz w:val="24"/>
          <w:szCs w:val="24"/>
        </w:rPr>
      </w:pPr>
    </w:p>
    <w:p w14:paraId="277C488E" w14:textId="65F82861" w:rsidR="00ED2CD4" w:rsidRDefault="00ED2CD4" w:rsidP="00ED2CD4">
      <w:pPr>
        <w:spacing w:line="360" w:lineRule="auto"/>
        <w:ind w:firstLine="709"/>
        <w:jc w:val="both"/>
        <w:rPr>
          <w:rFonts w:ascii="Times New Roman" w:hAnsi="Times New Roman" w:cs="Times New Roman"/>
          <w:sz w:val="24"/>
          <w:szCs w:val="24"/>
        </w:rPr>
      </w:pPr>
    </w:p>
    <w:p w14:paraId="7C32054D" w14:textId="260242AD" w:rsidR="00ED2CD4" w:rsidRDefault="00ED2CD4" w:rsidP="00ED2CD4">
      <w:pPr>
        <w:spacing w:line="360" w:lineRule="auto"/>
        <w:ind w:firstLine="709"/>
        <w:jc w:val="both"/>
        <w:rPr>
          <w:rFonts w:ascii="Times New Roman" w:hAnsi="Times New Roman" w:cs="Times New Roman"/>
          <w:sz w:val="24"/>
          <w:szCs w:val="24"/>
        </w:rPr>
      </w:pPr>
    </w:p>
    <w:p w14:paraId="3FC4A94F" w14:textId="76A019F5" w:rsidR="00ED2CD4" w:rsidRDefault="00ED2CD4" w:rsidP="00ED2CD4">
      <w:pPr>
        <w:spacing w:line="360" w:lineRule="auto"/>
        <w:ind w:firstLine="709"/>
        <w:jc w:val="both"/>
        <w:rPr>
          <w:rFonts w:ascii="Times New Roman" w:hAnsi="Times New Roman" w:cs="Times New Roman"/>
          <w:sz w:val="24"/>
          <w:szCs w:val="24"/>
        </w:rPr>
      </w:pPr>
    </w:p>
    <w:p w14:paraId="7710B92C" w14:textId="579CBFD9" w:rsidR="00ED2CD4" w:rsidRDefault="00ED2CD4" w:rsidP="00ED2CD4">
      <w:pPr>
        <w:spacing w:line="360" w:lineRule="auto"/>
        <w:ind w:firstLine="709"/>
        <w:jc w:val="both"/>
        <w:rPr>
          <w:rFonts w:ascii="Times New Roman" w:hAnsi="Times New Roman" w:cs="Times New Roman"/>
          <w:sz w:val="24"/>
          <w:szCs w:val="24"/>
        </w:rPr>
      </w:pPr>
    </w:p>
    <w:p w14:paraId="0E516357" w14:textId="77777777" w:rsidR="00ED2CD4" w:rsidRPr="00ED2CD4" w:rsidRDefault="00ED2CD4" w:rsidP="00CF4C10">
      <w:pPr>
        <w:spacing w:line="360" w:lineRule="auto"/>
        <w:jc w:val="both"/>
        <w:rPr>
          <w:rFonts w:ascii="Times New Roman" w:hAnsi="Times New Roman" w:cs="Times New Roman"/>
          <w:sz w:val="24"/>
          <w:szCs w:val="24"/>
        </w:rPr>
      </w:pPr>
    </w:p>
    <w:p w14:paraId="7E7FBF04" w14:textId="77777777" w:rsidR="00C56A10" w:rsidRDefault="00C56A10" w:rsidP="00C56A10">
      <w:pPr>
        <w:pStyle w:val="Nadpis1"/>
      </w:pPr>
      <w:r>
        <w:lastRenderedPageBreak/>
        <w:t>Seznam literatury použité v tezích</w:t>
      </w:r>
    </w:p>
    <w:p w14:paraId="05CFEC1A" w14:textId="77777777" w:rsidR="00C56A10" w:rsidRDefault="00C56A10" w:rsidP="00C56A10">
      <w:pPr>
        <w:jc w:val="both"/>
      </w:pPr>
    </w:p>
    <w:p w14:paraId="38F95DB6" w14:textId="693CCE0D" w:rsidR="00EA017D" w:rsidRDefault="00EA017D" w:rsidP="00EA017D">
      <w:pPr>
        <w:spacing w:line="360" w:lineRule="auto"/>
        <w:rPr>
          <w:rFonts w:ascii="Times New Roman" w:hAnsi="Times New Roman" w:cs="Times New Roman"/>
          <w:sz w:val="20"/>
          <w:szCs w:val="20"/>
        </w:rPr>
      </w:pPr>
      <w:r w:rsidRPr="00EA017D">
        <w:rPr>
          <w:rFonts w:ascii="Times New Roman" w:hAnsi="Times New Roman" w:cs="Times New Roman"/>
          <w:sz w:val="20"/>
          <w:szCs w:val="20"/>
        </w:rPr>
        <w:t>Blaha, Z. S., &amp; Jindřichovská, I. (2006)</w:t>
      </w:r>
      <w:r w:rsidRPr="00EA017D">
        <w:rPr>
          <w:rFonts w:ascii="Times New Roman" w:hAnsi="Times New Roman" w:cs="Times New Roman"/>
          <w:i/>
          <w:iCs/>
          <w:sz w:val="20"/>
          <w:szCs w:val="20"/>
        </w:rPr>
        <w:t>. Jak posoudit finanční zdraví firmy</w:t>
      </w:r>
      <w:r w:rsidRPr="00EA017D">
        <w:rPr>
          <w:rFonts w:ascii="Times New Roman" w:hAnsi="Times New Roman" w:cs="Times New Roman"/>
          <w:sz w:val="20"/>
          <w:szCs w:val="20"/>
        </w:rPr>
        <w:t xml:space="preserve"> (3. </w:t>
      </w:r>
      <w:proofErr w:type="spellStart"/>
      <w:r w:rsidRPr="00EA017D">
        <w:rPr>
          <w:rFonts w:ascii="Times New Roman" w:hAnsi="Times New Roman" w:cs="Times New Roman"/>
          <w:sz w:val="20"/>
          <w:szCs w:val="20"/>
        </w:rPr>
        <w:t>rozšíř</w:t>
      </w:r>
      <w:proofErr w:type="spellEnd"/>
      <w:r w:rsidRPr="00EA017D">
        <w:rPr>
          <w:rFonts w:ascii="Times New Roman" w:hAnsi="Times New Roman" w:cs="Times New Roman"/>
          <w:sz w:val="20"/>
          <w:szCs w:val="20"/>
        </w:rPr>
        <w:t>.</w:t>
      </w:r>
      <w:r w:rsidRPr="00EA017D">
        <w:rPr>
          <w:rFonts w:ascii="Times New Roman" w:hAnsi="Times New Roman" w:cs="Times New Roman"/>
          <w:sz w:val="20"/>
          <w:szCs w:val="20"/>
          <w:lang w:val="en-US"/>
        </w:rPr>
        <w:t xml:space="preserve"> </w:t>
      </w:r>
      <w:r w:rsidRPr="00EA017D">
        <w:rPr>
          <w:rFonts w:ascii="Times New Roman" w:hAnsi="Times New Roman" w:cs="Times New Roman"/>
          <w:sz w:val="20"/>
          <w:szCs w:val="20"/>
        </w:rPr>
        <w:t xml:space="preserve">vyd.). Praha: Management </w:t>
      </w:r>
      <w:proofErr w:type="spellStart"/>
      <w:r w:rsidRPr="00EA017D">
        <w:rPr>
          <w:rFonts w:ascii="Times New Roman" w:hAnsi="Times New Roman" w:cs="Times New Roman"/>
          <w:sz w:val="20"/>
          <w:szCs w:val="20"/>
        </w:rPr>
        <w:t>Press</w:t>
      </w:r>
      <w:proofErr w:type="spellEnd"/>
      <w:r w:rsidRPr="00EA017D">
        <w:rPr>
          <w:rFonts w:ascii="Times New Roman" w:hAnsi="Times New Roman" w:cs="Times New Roman"/>
          <w:sz w:val="20"/>
          <w:szCs w:val="20"/>
        </w:rPr>
        <w:t>.</w:t>
      </w:r>
    </w:p>
    <w:p w14:paraId="5D8F0714" w14:textId="77777777" w:rsidR="00EA017D" w:rsidRPr="00EA017D" w:rsidRDefault="00EA017D" w:rsidP="00EA017D">
      <w:pPr>
        <w:spacing w:line="360" w:lineRule="auto"/>
        <w:rPr>
          <w:rFonts w:ascii="Times New Roman" w:hAnsi="Times New Roman" w:cs="Times New Roman"/>
          <w:sz w:val="20"/>
          <w:szCs w:val="20"/>
        </w:rPr>
      </w:pPr>
      <w:r w:rsidRPr="00EA017D">
        <w:rPr>
          <w:rFonts w:ascii="Times New Roman" w:hAnsi="Times New Roman" w:cs="Times New Roman"/>
          <w:sz w:val="20"/>
          <w:szCs w:val="20"/>
        </w:rPr>
        <w:t>Grünwald, R., &amp; Holečková, J. (200</w:t>
      </w:r>
      <w:r w:rsidRPr="00EA017D">
        <w:rPr>
          <w:rFonts w:ascii="Times New Roman" w:hAnsi="Times New Roman" w:cs="Times New Roman"/>
          <w:sz w:val="20"/>
          <w:szCs w:val="20"/>
          <w:lang w:val="en-US"/>
        </w:rPr>
        <w:t>9</w:t>
      </w:r>
      <w:r w:rsidRPr="00EA017D">
        <w:rPr>
          <w:rFonts w:ascii="Times New Roman" w:hAnsi="Times New Roman" w:cs="Times New Roman"/>
          <w:sz w:val="20"/>
          <w:szCs w:val="20"/>
        </w:rPr>
        <w:t xml:space="preserve">). </w:t>
      </w:r>
      <w:r w:rsidRPr="00EA017D">
        <w:rPr>
          <w:rFonts w:ascii="Times New Roman" w:hAnsi="Times New Roman" w:cs="Times New Roman"/>
          <w:i/>
          <w:iCs/>
          <w:sz w:val="20"/>
          <w:szCs w:val="20"/>
        </w:rPr>
        <w:t xml:space="preserve">Finanční analýza a plánování podniku. </w:t>
      </w:r>
      <w:r w:rsidRPr="00EA017D">
        <w:rPr>
          <w:rFonts w:ascii="Times New Roman" w:hAnsi="Times New Roman" w:cs="Times New Roman"/>
          <w:sz w:val="20"/>
          <w:szCs w:val="20"/>
        </w:rPr>
        <w:t>Praha:</w:t>
      </w:r>
      <w:r w:rsidRPr="00EA017D">
        <w:rPr>
          <w:rFonts w:ascii="Times New Roman" w:hAnsi="Times New Roman" w:cs="Times New Roman"/>
          <w:sz w:val="20"/>
          <w:szCs w:val="20"/>
          <w:lang w:val="en-US"/>
        </w:rPr>
        <w:t xml:space="preserve"> </w:t>
      </w:r>
      <w:proofErr w:type="spellStart"/>
      <w:r w:rsidRPr="00EA017D">
        <w:rPr>
          <w:rFonts w:ascii="Times New Roman" w:hAnsi="Times New Roman" w:cs="Times New Roman"/>
          <w:sz w:val="20"/>
          <w:szCs w:val="20"/>
        </w:rPr>
        <w:t>Ekopress</w:t>
      </w:r>
      <w:proofErr w:type="spellEnd"/>
      <w:r w:rsidRPr="00EA017D">
        <w:rPr>
          <w:rFonts w:ascii="Times New Roman" w:hAnsi="Times New Roman" w:cs="Times New Roman"/>
          <w:sz w:val="20"/>
          <w:szCs w:val="20"/>
        </w:rPr>
        <w:t>.</w:t>
      </w:r>
    </w:p>
    <w:p w14:paraId="530F7FD4" w14:textId="77777777" w:rsidR="00EA017D" w:rsidRPr="00EA017D" w:rsidRDefault="00EA017D" w:rsidP="00EA017D">
      <w:pPr>
        <w:spacing w:line="360" w:lineRule="auto"/>
        <w:rPr>
          <w:rFonts w:ascii="Times New Roman" w:hAnsi="Times New Roman" w:cs="Times New Roman"/>
          <w:sz w:val="20"/>
          <w:szCs w:val="20"/>
        </w:rPr>
      </w:pPr>
      <w:r w:rsidRPr="00EA017D">
        <w:rPr>
          <w:rFonts w:ascii="Times New Roman" w:hAnsi="Times New Roman" w:cs="Times New Roman"/>
          <w:sz w:val="20"/>
          <w:szCs w:val="20"/>
        </w:rPr>
        <w:t>Holečková, J. (2008</w:t>
      </w:r>
      <w:r w:rsidRPr="00EA017D">
        <w:rPr>
          <w:rFonts w:ascii="Times New Roman" w:hAnsi="Times New Roman" w:cs="Times New Roman"/>
          <w:i/>
          <w:iCs/>
          <w:sz w:val="20"/>
          <w:szCs w:val="20"/>
        </w:rPr>
        <w:t>). Finanční analýza firmy</w:t>
      </w:r>
      <w:r w:rsidRPr="00EA017D">
        <w:rPr>
          <w:rFonts w:ascii="Times New Roman" w:hAnsi="Times New Roman" w:cs="Times New Roman"/>
          <w:sz w:val="20"/>
          <w:szCs w:val="20"/>
        </w:rPr>
        <w:t>. Praha: ASPI.</w:t>
      </w:r>
    </w:p>
    <w:p w14:paraId="5CB9C387" w14:textId="671E995E" w:rsidR="00EA017D" w:rsidRDefault="00EA017D" w:rsidP="00EA017D">
      <w:pPr>
        <w:spacing w:line="360" w:lineRule="auto"/>
        <w:rPr>
          <w:rFonts w:ascii="Times New Roman" w:hAnsi="Times New Roman" w:cs="Times New Roman"/>
          <w:sz w:val="20"/>
          <w:szCs w:val="20"/>
        </w:rPr>
      </w:pPr>
      <w:r w:rsidRPr="00EA017D">
        <w:rPr>
          <w:rFonts w:ascii="Times New Roman" w:hAnsi="Times New Roman" w:cs="Times New Roman"/>
          <w:sz w:val="20"/>
          <w:szCs w:val="20"/>
        </w:rPr>
        <w:t>Marek, P.</w:t>
      </w:r>
      <w:r w:rsidRPr="00EA017D">
        <w:rPr>
          <w:rFonts w:ascii="Times New Roman" w:hAnsi="Times New Roman" w:cs="Times New Roman"/>
          <w:sz w:val="20"/>
          <w:szCs w:val="20"/>
          <w:lang w:val="en-US"/>
        </w:rPr>
        <w:t xml:space="preserve"> </w:t>
      </w:r>
      <w:r w:rsidRPr="00EA017D">
        <w:rPr>
          <w:rFonts w:ascii="Times New Roman" w:hAnsi="Times New Roman" w:cs="Times New Roman"/>
          <w:sz w:val="20"/>
          <w:szCs w:val="20"/>
        </w:rPr>
        <w:t>a kol. (2009</w:t>
      </w:r>
      <w:r w:rsidRPr="00EA017D">
        <w:rPr>
          <w:rFonts w:ascii="Times New Roman" w:hAnsi="Times New Roman" w:cs="Times New Roman"/>
          <w:i/>
          <w:iCs/>
          <w:sz w:val="20"/>
          <w:szCs w:val="20"/>
        </w:rPr>
        <w:t>). Studijní průvodce financemi podniku</w:t>
      </w:r>
      <w:r w:rsidRPr="00EA017D">
        <w:rPr>
          <w:rFonts w:ascii="Times New Roman" w:hAnsi="Times New Roman" w:cs="Times New Roman"/>
          <w:sz w:val="20"/>
          <w:szCs w:val="20"/>
        </w:rPr>
        <w:t xml:space="preserve"> (2. </w:t>
      </w:r>
      <w:proofErr w:type="spellStart"/>
      <w:r w:rsidRPr="00EA017D">
        <w:rPr>
          <w:rFonts w:ascii="Times New Roman" w:hAnsi="Times New Roman" w:cs="Times New Roman"/>
          <w:sz w:val="20"/>
          <w:szCs w:val="20"/>
        </w:rPr>
        <w:t>aktual</w:t>
      </w:r>
      <w:proofErr w:type="spellEnd"/>
      <w:r w:rsidRPr="00EA017D">
        <w:rPr>
          <w:rFonts w:ascii="Times New Roman" w:hAnsi="Times New Roman" w:cs="Times New Roman"/>
          <w:sz w:val="20"/>
          <w:szCs w:val="20"/>
        </w:rPr>
        <w:t xml:space="preserve">. vyd.). Praha: </w:t>
      </w:r>
      <w:proofErr w:type="spellStart"/>
      <w:r w:rsidRPr="00EA017D">
        <w:rPr>
          <w:rFonts w:ascii="Times New Roman" w:hAnsi="Times New Roman" w:cs="Times New Roman"/>
          <w:sz w:val="20"/>
          <w:szCs w:val="20"/>
        </w:rPr>
        <w:t>Ekopress</w:t>
      </w:r>
      <w:proofErr w:type="spellEnd"/>
      <w:r w:rsidRPr="00EA017D">
        <w:rPr>
          <w:rFonts w:ascii="Times New Roman" w:hAnsi="Times New Roman" w:cs="Times New Roman"/>
          <w:sz w:val="20"/>
          <w:szCs w:val="20"/>
        </w:rPr>
        <w:t>.</w:t>
      </w:r>
    </w:p>
    <w:p w14:paraId="1BEE910E" w14:textId="3C20841D" w:rsidR="00EA017D" w:rsidRPr="00EA017D" w:rsidRDefault="00EA017D" w:rsidP="00EA017D">
      <w:pPr>
        <w:spacing w:line="360" w:lineRule="auto"/>
        <w:rPr>
          <w:rFonts w:ascii="Times New Roman" w:hAnsi="Times New Roman" w:cs="Times New Roman"/>
          <w:sz w:val="20"/>
          <w:szCs w:val="20"/>
        </w:rPr>
      </w:pPr>
      <w:r w:rsidRPr="00EA017D">
        <w:rPr>
          <w:rFonts w:ascii="Times New Roman" w:hAnsi="Times New Roman" w:cs="Times New Roman"/>
          <w:sz w:val="20"/>
          <w:szCs w:val="20"/>
        </w:rPr>
        <w:t xml:space="preserve">Mařík, M. a kol. (2011). Metody oceňování podniku (3. </w:t>
      </w:r>
      <w:proofErr w:type="spellStart"/>
      <w:r w:rsidRPr="00EA017D">
        <w:rPr>
          <w:rFonts w:ascii="Times New Roman" w:hAnsi="Times New Roman" w:cs="Times New Roman"/>
          <w:sz w:val="20"/>
          <w:szCs w:val="20"/>
        </w:rPr>
        <w:t>aktualiz</w:t>
      </w:r>
      <w:proofErr w:type="spellEnd"/>
      <w:r w:rsidRPr="00EA017D">
        <w:rPr>
          <w:rFonts w:ascii="Times New Roman" w:hAnsi="Times New Roman" w:cs="Times New Roman"/>
          <w:sz w:val="20"/>
          <w:szCs w:val="20"/>
        </w:rPr>
        <w:t xml:space="preserve">. vyd.). </w:t>
      </w:r>
      <w:proofErr w:type="spellStart"/>
      <w:proofErr w:type="gramStart"/>
      <w:r w:rsidRPr="00EA017D">
        <w:rPr>
          <w:rFonts w:ascii="Times New Roman" w:hAnsi="Times New Roman" w:cs="Times New Roman"/>
          <w:sz w:val="20"/>
          <w:szCs w:val="20"/>
        </w:rPr>
        <w:t>Praha:Ekopress</w:t>
      </w:r>
      <w:proofErr w:type="spellEnd"/>
      <w:proofErr w:type="gramEnd"/>
      <w:r w:rsidRPr="00EA017D">
        <w:rPr>
          <w:rFonts w:ascii="Times New Roman" w:hAnsi="Times New Roman" w:cs="Times New Roman"/>
          <w:sz w:val="20"/>
          <w:szCs w:val="20"/>
        </w:rPr>
        <w:t>.</w:t>
      </w:r>
    </w:p>
    <w:p w14:paraId="05056E7F" w14:textId="77777777" w:rsidR="00EA017D" w:rsidRPr="00EA017D" w:rsidRDefault="00EA017D" w:rsidP="00EA017D">
      <w:pPr>
        <w:spacing w:line="360" w:lineRule="auto"/>
        <w:rPr>
          <w:rFonts w:ascii="Times New Roman" w:hAnsi="Times New Roman" w:cs="Times New Roman"/>
          <w:sz w:val="20"/>
          <w:szCs w:val="20"/>
        </w:rPr>
      </w:pPr>
      <w:r w:rsidRPr="00EA017D">
        <w:rPr>
          <w:rFonts w:ascii="Times New Roman" w:hAnsi="Times New Roman" w:cs="Times New Roman"/>
          <w:sz w:val="20"/>
          <w:szCs w:val="20"/>
        </w:rPr>
        <w:t xml:space="preserve">Synek, M., </w:t>
      </w:r>
      <w:proofErr w:type="spellStart"/>
      <w:r w:rsidRPr="00EA017D">
        <w:rPr>
          <w:rFonts w:ascii="Times New Roman" w:hAnsi="Times New Roman" w:cs="Times New Roman"/>
          <w:sz w:val="20"/>
          <w:szCs w:val="20"/>
        </w:rPr>
        <w:t>Kislingerová</w:t>
      </w:r>
      <w:proofErr w:type="spellEnd"/>
      <w:r w:rsidRPr="00EA017D">
        <w:rPr>
          <w:rFonts w:ascii="Times New Roman" w:hAnsi="Times New Roman" w:cs="Times New Roman"/>
          <w:sz w:val="20"/>
          <w:szCs w:val="20"/>
        </w:rPr>
        <w:t xml:space="preserve">, E. a kol. (2010). </w:t>
      </w:r>
      <w:r w:rsidRPr="00EA017D">
        <w:rPr>
          <w:rFonts w:ascii="Times New Roman" w:hAnsi="Times New Roman" w:cs="Times New Roman"/>
          <w:i/>
          <w:iCs/>
          <w:sz w:val="20"/>
          <w:szCs w:val="20"/>
        </w:rPr>
        <w:t xml:space="preserve">Podniková ekonomika. </w:t>
      </w:r>
      <w:r w:rsidRPr="00EA017D">
        <w:rPr>
          <w:rFonts w:ascii="Times New Roman" w:hAnsi="Times New Roman" w:cs="Times New Roman"/>
          <w:sz w:val="20"/>
          <w:szCs w:val="20"/>
        </w:rPr>
        <w:t xml:space="preserve">Praha: </w:t>
      </w:r>
      <w:proofErr w:type="spellStart"/>
      <w:r w:rsidRPr="00EA017D">
        <w:rPr>
          <w:rFonts w:ascii="Times New Roman" w:hAnsi="Times New Roman" w:cs="Times New Roman"/>
          <w:sz w:val="20"/>
          <w:szCs w:val="20"/>
        </w:rPr>
        <w:t>C.H.Beck</w:t>
      </w:r>
      <w:proofErr w:type="spellEnd"/>
      <w:r w:rsidRPr="00EA017D">
        <w:rPr>
          <w:rFonts w:ascii="Times New Roman" w:hAnsi="Times New Roman" w:cs="Times New Roman"/>
          <w:sz w:val="20"/>
          <w:szCs w:val="20"/>
        </w:rPr>
        <w:t>.</w:t>
      </w:r>
    </w:p>
    <w:p w14:paraId="3C6CADF1" w14:textId="4DBC9F8D" w:rsidR="00EA017D" w:rsidRDefault="00EA017D" w:rsidP="00EA017D">
      <w:pPr>
        <w:spacing w:line="360" w:lineRule="auto"/>
        <w:rPr>
          <w:rFonts w:ascii="Times New Roman" w:hAnsi="Times New Roman" w:cs="Times New Roman"/>
          <w:sz w:val="20"/>
          <w:szCs w:val="20"/>
        </w:rPr>
      </w:pPr>
      <w:proofErr w:type="spellStart"/>
      <w:r w:rsidRPr="00EA017D">
        <w:rPr>
          <w:rFonts w:ascii="Times New Roman" w:hAnsi="Times New Roman" w:cs="Times New Roman"/>
          <w:sz w:val="20"/>
          <w:szCs w:val="20"/>
        </w:rPr>
        <w:t>Růčková</w:t>
      </w:r>
      <w:proofErr w:type="spellEnd"/>
      <w:r w:rsidRPr="00EA017D">
        <w:rPr>
          <w:rFonts w:ascii="Times New Roman" w:hAnsi="Times New Roman" w:cs="Times New Roman"/>
          <w:sz w:val="20"/>
          <w:szCs w:val="20"/>
        </w:rPr>
        <w:t xml:space="preserve">, P. (2015). </w:t>
      </w:r>
      <w:r w:rsidRPr="00EA017D">
        <w:rPr>
          <w:rFonts w:ascii="Times New Roman" w:hAnsi="Times New Roman" w:cs="Times New Roman"/>
          <w:i/>
          <w:iCs/>
          <w:sz w:val="20"/>
          <w:szCs w:val="20"/>
        </w:rPr>
        <w:t>Finanční analýza</w:t>
      </w:r>
      <w:r w:rsidRPr="00EA017D">
        <w:rPr>
          <w:rFonts w:ascii="Times New Roman" w:hAnsi="Times New Roman" w:cs="Times New Roman"/>
          <w:sz w:val="20"/>
          <w:szCs w:val="20"/>
        </w:rPr>
        <w:t xml:space="preserve"> (5. </w:t>
      </w:r>
      <w:proofErr w:type="spellStart"/>
      <w:r w:rsidRPr="00EA017D">
        <w:rPr>
          <w:rFonts w:ascii="Times New Roman" w:hAnsi="Times New Roman" w:cs="Times New Roman"/>
          <w:sz w:val="20"/>
          <w:szCs w:val="20"/>
        </w:rPr>
        <w:t>aktual</w:t>
      </w:r>
      <w:proofErr w:type="spellEnd"/>
      <w:r w:rsidRPr="00EA017D">
        <w:rPr>
          <w:rFonts w:ascii="Times New Roman" w:hAnsi="Times New Roman" w:cs="Times New Roman"/>
          <w:sz w:val="20"/>
          <w:szCs w:val="20"/>
        </w:rPr>
        <w:t>. vyd.). Praha: Grada.</w:t>
      </w:r>
    </w:p>
    <w:p w14:paraId="5841BA04" w14:textId="20ED266B" w:rsidR="00EA017D" w:rsidRPr="00EA017D" w:rsidRDefault="00EA017D" w:rsidP="00EA017D">
      <w:pPr>
        <w:spacing w:line="360" w:lineRule="auto"/>
        <w:rPr>
          <w:rFonts w:ascii="Times New Roman" w:hAnsi="Times New Roman" w:cs="Times New Roman"/>
          <w:sz w:val="20"/>
          <w:szCs w:val="20"/>
        </w:rPr>
      </w:pPr>
      <w:proofErr w:type="spellStart"/>
      <w:r w:rsidRPr="00EA017D">
        <w:rPr>
          <w:rFonts w:ascii="Times New Roman" w:hAnsi="Times New Roman" w:cs="Times New Roman"/>
          <w:sz w:val="20"/>
          <w:szCs w:val="20"/>
        </w:rPr>
        <w:t>Růčková</w:t>
      </w:r>
      <w:proofErr w:type="spellEnd"/>
      <w:r w:rsidRPr="00EA017D">
        <w:rPr>
          <w:rFonts w:ascii="Times New Roman" w:hAnsi="Times New Roman" w:cs="Times New Roman"/>
          <w:sz w:val="20"/>
          <w:szCs w:val="20"/>
        </w:rPr>
        <w:t xml:space="preserve">, P., &amp; Roubíčková, M. (2012). </w:t>
      </w:r>
      <w:r w:rsidRPr="00EA017D">
        <w:rPr>
          <w:rFonts w:ascii="Times New Roman" w:hAnsi="Times New Roman" w:cs="Times New Roman"/>
          <w:i/>
          <w:iCs/>
          <w:sz w:val="20"/>
          <w:szCs w:val="20"/>
        </w:rPr>
        <w:t>Finanční management</w:t>
      </w:r>
      <w:r w:rsidRPr="00EA017D">
        <w:rPr>
          <w:rFonts w:ascii="Times New Roman" w:hAnsi="Times New Roman" w:cs="Times New Roman"/>
          <w:sz w:val="20"/>
          <w:szCs w:val="20"/>
        </w:rPr>
        <w:t>. Praha: Grada.</w:t>
      </w:r>
    </w:p>
    <w:p w14:paraId="7DE45E93" w14:textId="6FA70DE1" w:rsidR="00EA017D" w:rsidRDefault="00EA017D" w:rsidP="00EA017D">
      <w:pPr>
        <w:spacing w:line="360" w:lineRule="auto"/>
        <w:rPr>
          <w:rFonts w:ascii="Times New Roman" w:hAnsi="Times New Roman" w:cs="Times New Roman"/>
          <w:sz w:val="20"/>
          <w:szCs w:val="20"/>
        </w:rPr>
      </w:pPr>
      <w:r w:rsidRPr="00EA017D">
        <w:rPr>
          <w:rFonts w:ascii="Times New Roman" w:hAnsi="Times New Roman" w:cs="Times New Roman"/>
          <w:sz w:val="20"/>
          <w:szCs w:val="20"/>
        </w:rPr>
        <w:t xml:space="preserve">Sedláček, J. (2011). </w:t>
      </w:r>
      <w:r w:rsidRPr="00EA017D">
        <w:rPr>
          <w:rFonts w:ascii="Times New Roman" w:hAnsi="Times New Roman" w:cs="Times New Roman"/>
          <w:i/>
          <w:iCs/>
          <w:sz w:val="20"/>
          <w:szCs w:val="20"/>
        </w:rPr>
        <w:t>Finanční analýza podniku</w:t>
      </w:r>
      <w:r w:rsidRPr="00EA017D">
        <w:rPr>
          <w:rFonts w:ascii="Times New Roman" w:hAnsi="Times New Roman" w:cs="Times New Roman"/>
          <w:sz w:val="20"/>
          <w:szCs w:val="20"/>
        </w:rPr>
        <w:t xml:space="preserve"> (2. </w:t>
      </w:r>
      <w:proofErr w:type="spellStart"/>
      <w:r w:rsidRPr="00EA017D">
        <w:rPr>
          <w:rFonts w:ascii="Times New Roman" w:hAnsi="Times New Roman" w:cs="Times New Roman"/>
          <w:sz w:val="20"/>
          <w:szCs w:val="20"/>
        </w:rPr>
        <w:t>aktualiz</w:t>
      </w:r>
      <w:proofErr w:type="spellEnd"/>
      <w:r w:rsidRPr="00EA017D">
        <w:rPr>
          <w:rFonts w:ascii="Times New Roman" w:hAnsi="Times New Roman" w:cs="Times New Roman"/>
          <w:sz w:val="20"/>
          <w:szCs w:val="20"/>
        </w:rPr>
        <w:t xml:space="preserve">. vyd.). Brno: </w:t>
      </w:r>
      <w:proofErr w:type="spellStart"/>
      <w:r w:rsidRPr="00EA017D">
        <w:rPr>
          <w:rFonts w:ascii="Times New Roman" w:hAnsi="Times New Roman" w:cs="Times New Roman"/>
          <w:sz w:val="20"/>
          <w:szCs w:val="20"/>
        </w:rPr>
        <w:t>Computer</w:t>
      </w:r>
      <w:proofErr w:type="spellEnd"/>
      <w:r w:rsidRPr="00EA017D">
        <w:rPr>
          <w:rFonts w:ascii="Times New Roman" w:hAnsi="Times New Roman" w:cs="Times New Roman"/>
          <w:sz w:val="20"/>
          <w:szCs w:val="20"/>
        </w:rPr>
        <w:t xml:space="preserve"> </w:t>
      </w:r>
      <w:proofErr w:type="spellStart"/>
      <w:r w:rsidRPr="00EA017D">
        <w:rPr>
          <w:rFonts w:ascii="Times New Roman" w:hAnsi="Times New Roman" w:cs="Times New Roman"/>
          <w:sz w:val="20"/>
          <w:szCs w:val="20"/>
        </w:rPr>
        <w:t>Press</w:t>
      </w:r>
      <w:proofErr w:type="spellEnd"/>
      <w:r w:rsidRPr="00EA017D">
        <w:rPr>
          <w:rFonts w:ascii="Times New Roman" w:hAnsi="Times New Roman" w:cs="Times New Roman"/>
          <w:sz w:val="20"/>
          <w:szCs w:val="20"/>
        </w:rPr>
        <w:t>.</w:t>
      </w:r>
    </w:p>
    <w:p w14:paraId="76CC6DCA" w14:textId="77777777" w:rsidR="00EA017D" w:rsidRDefault="00EA017D" w:rsidP="00EA017D">
      <w:pPr>
        <w:spacing w:line="360" w:lineRule="auto"/>
        <w:rPr>
          <w:rFonts w:ascii="Times New Roman" w:hAnsi="Times New Roman" w:cs="Times New Roman"/>
          <w:sz w:val="20"/>
          <w:szCs w:val="20"/>
        </w:rPr>
      </w:pPr>
    </w:p>
    <w:p w14:paraId="0AA56B66" w14:textId="03BAC9CC" w:rsidR="00EA017D" w:rsidRPr="00EA017D" w:rsidRDefault="00EA017D" w:rsidP="00EA017D">
      <w:pPr>
        <w:spacing w:line="360" w:lineRule="auto"/>
        <w:rPr>
          <w:rFonts w:ascii="Times New Roman" w:hAnsi="Times New Roman" w:cs="Times New Roman"/>
        </w:rPr>
      </w:pPr>
      <w:r w:rsidRPr="00EA017D">
        <w:rPr>
          <w:rFonts w:ascii="Times New Roman" w:hAnsi="Times New Roman" w:cs="Times New Roman"/>
          <w:szCs w:val="24"/>
        </w:rPr>
        <w:t>Plný seznam použité literatury je uveden v textu bakalářské práce</w:t>
      </w:r>
    </w:p>
    <w:p w14:paraId="24FA16DD" w14:textId="294BEAD0" w:rsidR="005E472F" w:rsidRPr="00EA017D" w:rsidRDefault="005E472F">
      <w:pPr>
        <w:rPr>
          <w:rFonts w:ascii="Times New Roman" w:eastAsiaTheme="majorEastAsia" w:hAnsi="Times New Roman" w:cs="Times New Roman"/>
          <w:b/>
          <w:spacing w:val="-10"/>
          <w:kern w:val="28"/>
          <w:sz w:val="28"/>
          <w:szCs w:val="72"/>
        </w:rPr>
      </w:pPr>
    </w:p>
    <w:p w14:paraId="607BEED3" w14:textId="0D85F683" w:rsidR="005E472F" w:rsidRDefault="005E472F">
      <w:pPr>
        <w:rPr>
          <w:rFonts w:ascii="Times New Roman" w:eastAsiaTheme="majorEastAsia" w:hAnsi="Times New Roman" w:cs="Times New Roman"/>
          <w:b/>
          <w:spacing w:val="-10"/>
          <w:kern w:val="28"/>
          <w:sz w:val="36"/>
          <w:szCs w:val="144"/>
        </w:rPr>
      </w:pPr>
    </w:p>
    <w:p w14:paraId="674EBB9B" w14:textId="5280161B" w:rsidR="005E472F" w:rsidRDefault="005E472F">
      <w:pPr>
        <w:rPr>
          <w:rFonts w:ascii="Times New Roman" w:eastAsiaTheme="majorEastAsia" w:hAnsi="Times New Roman" w:cs="Times New Roman"/>
          <w:b/>
          <w:spacing w:val="-10"/>
          <w:kern w:val="28"/>
          <w:sz w:val="36"/>
          <w:szCs w:val="144"/>
        </w:rPr>
      </w:pPr>
    </w:p>
    <w:p w14:paraId="16DCD9C3" w14:textId="319ABA0C" w:rsidR="005E472F" w:rsidRDefault="005E472F">
      <w:pPr>
        <w:rPr>
          <w:rFonts w:ascii="Times New Roman" w:eastAsiaTheme="majorEastAsia" w:hAnsi="Times New Roman" w:cs="Times New Roman"/>
          <w:b/>
          <w:spacing w:val="-10"/>
          <w:kern w:val="28"/>
          <w:sz w:val="36"/>
          <w:szCs w:val="144"/>
        </w:rPr>
      </w:pPr>
    </w:p>
    <w:p w14:paraId="17E03EA5" w14:textId="10D00315" w:rsidR="005E472F" w:rsidRDefault="005E472F">
      <w:pPr>
        <w:rPr>
          <w:rFonts w:ascii="Times New Roman" w:eastAsiaTheme="majorEastAsia" w:hAnsi="Times New Roman" w:cs="Times New Roman"/>
          <w:b/>
          <w:spacing w:val="-10"/>
          <w:kern w:val="28"/>
          <w:sz w:val="36"/>
          <w:szCs w:val="144"/>
        </w:rPr>
      </w:pPr>
    </w:p>
    <w:p w14:paraId="5DD98282" w14:textId="7C709DF9" w:rsidR="005E472F" w:rsidRDefault="005E472F">
      <w:pPr>
        <w:rPr>
          <w:rFonts w:ascii="Times New Roman" w:eastAsiaTheme="majorEastAsia" w:hAnsi="Times New Roman" w:cs="Times New Roman"/>
          <w:b/>
          <w:spacing w:val="-10"/>
          <w:kern w:val="28"/>
          <w:sz w:val="36"/>
          <w:szCs w:val="144"/>
        </w:rPr>
      </w:pPr>
    </w:p>
    <w:p w14:paraId="0769571E" w14:textId="6F3FBE89" w:rsidR="005E472F" w:rsidRDefault="005E472F">
      <w:pPr>
        <w:rPr>
          <w:rFonts w:ascii="Times New Roman" w:eastAsiaTheme="majorEastAsia" w:hAnsi="Times New Roman" w:cs="Times New Roman"/>
          <w:b/>
          <w:spacing w:val="-10"/>
          <w:kern w:val="28"/>
          <w:sz w:val="36"/>
          <w:szCs w:val="144"/>
        </w:rPr>
      </w:pPr>
    </w:p>
    <w:p w14:paraId="7B7D8726" w14:textId="19B6C6E6" w:rsidR="005E472F" w:rsidRDefault="005E472F">
      <w:pPr>
        <w:rPr>
          <w:rFonts w:ascii="Times New Roman" w:eastAsiaTheme="majorEastAsia" w:hAnsi="Times New Roman" w:cs="Times New Roman"/>
          <w:b/>
          <w:spacing w:val="-10"/>
          <w:kern w:val="28"/>
          <w:sz w:val="36"/>
          <w:szCs w:val="144"/>
        </w:rPr>
      </w:pPr>
    </w:p>
    <w:p w14:paraId="13F93668" w14:textId="5AA8E6E2" w:rsidR="005E472F" w:rsidRDefault="005E472F">
      <w:pPr>
        <w:rPr>
          <w:rFonts w:ascii="Times New Roman" w:eastAsiaTheme="majorEastAsia" w:hAnsi="Times New Roman" w:cs="Times New Roman"/>
          <w:b/>
          <w:spacing w:val="-10"/>
          <w:kern w:val="28"/>
          <w:sz w:val="36"/>
          <w:szCs w:val="144"/>
        </w:rPr>
      </w:pPr>
    </w:p>
    <w:p w14:paraId="1CAE414C" w14:textId="640BC83D" w:rsidR="005E472F" w:rsidRDefault="005E472F">
      <w:pPr>
        <w:rPr>
          <w:rFonts w:ascii="Times New Roman" w:eastAsiaTheme="majorEastAsia" w:hAnsi="Times New Roman" w:cs="Times New Roman"/>
          <w:b/>
          <w:spacing w:val="-10"/>
          <w:kern w:val="28"/>
          <w:sz w:val="36"/>
          <w:szCs w:val="144"/>
        </w:rPr>
      </w:pPr>
    </w:p>
    <w:p w14:paraId="330DBEE0" w14:textId="316074BD" w:rsidR="005E472F" w:rsidRDefault="005E472F">
      <w:pPr>
        <w:rPr>
          <w:rFonts w:ascii="Times New Roman" w:eastAsiaTheme="majorEastAsia" w:hAnsi="Times New Roman" w:cs="Times New Roman"/>
          <w:b/>
          <w:spacing w:val="-10"/>
          <w:kern w:val="28"/>
          <w:sz w:val="36"/>
          <w:szCs w:val="144"/>
        </w:rPr>
      </w:pPr>
    </w:p>
    <w:p w14:paraId="5C6B3693" w14:textId="18197CEC" w:rsidR="005E472F" w:rsidRDefault="005E472F">
      <w:pPr>
        <w:rPr>
          <w:rFonts w:ascii="Times New Roman" w:eastAsiaTheme="majorEastAsia" w:hAnsi="Times New Roman" w:cs="Times New Roman"/>
          <w:b/>
          <w:spacing w:val="-10"/>
          <w:kern w:val="28"/>
          <w:sz w:val="36"/>
          <w:szCs w:val="144"/>
        </w:rPr>
      </w:pPr>
    </w:p>
    <w:p w14:paraId="5C2A2F4D" w14:textId="77777777" w:rsidR="005E472F" w:rsidRDefault="005E472F">
      <w:pPr>
        <w:rPr>
          <w:rFonts w:ascii="Times New Roman" w:eastAsiaTheme="majorEastAsia" w:hAnsi="Times New Roman" w:cs="Times New Roman"/>
          <w:b/>
          <w:spacing w:val="-10"/>
          <w:kern w:val="28"/>
          <w:sz w:val="36"/>
          <w:szCs w:val="144"/>
        </w:rPr>
      </w:pPr>
    </w:p>
    <w:p w14:paraId="2C4DBE67" w14:textId="77777777" w:rsidR="005E472F" w:rsidRDefault="005E472F" w:rsidP="005E472F">
      <w:pPr>
        <w:pStyle w:val="Nadpis1"/>
        <w:rPr>
          <w:sz w:val="20"/>
        </w:rPr>
      </w:pPr>
      <w:r>
        <w:rPr>
          <w:sz w:val="20"/>
        </w:rPr>
        <w:lastRenderedPageBreak/>
        <w:t>Další bibliografické údaje</w:t>
      </w:r>
    </w:p>
    <w:p w14:paraId="3D8E4B96" w14:textId="77777777" w:rsidR="005E472F" w:rsidRDefault="005E472F" w:rsidP="005E472F">
      <w:pPr>
        <w:rPr>
          <w:sz w:val="24"/>
        </w:rPr>
      </w:pPr>
    </w:p>
    <w:p w14:paraId="16F68EFD" w14:textId="0DDEDE25" w:rsidR="005E472F" w:rsidRDefault="005E472F" w:rsidP="005E472F">
      <w:pPr>
        <w:spacing w:line="256" w:lineRule="auto"/>
        <w:rPr>
          <w:sz w:val="20"/>
          <w:lang w:val="en-GB"/>
        </w:rPr>
      </w:pPr>
      <w:r>
        <w:rPr>
          <w:sz w:val="20"/>
          <w:lang w:val="en-GB"/>
        </w:rPr>
        <w:t>Type of thesis: bachelor</w:t>
      </w:r>
    </w:p>
    <w:p w14:paraId="0BD83D0E" w14:textId="32C33D49" w:rsidR="005E472F" w:rsidRDefault="005E472F" w:rsidP="005E472F">
      <w:pPr>
        <w:spacing w:line="256" w:lineRule="auto"/>
        <w:rPr>
          <w:sz w:val="20"/>
          <w:lang w:val="en-GB"/>
        </w:rPr>
      </w:pPr>
      <w:r>
        <w:rPr>
          <w:sz w:val="20"/>
          <w:lang w:val="en-GB"/>
        </w:rPr>
        <w:t xml:space="preserve">Author: </w:t>
      </w:r>
      <w:r w:rsidR="0040753E">
        <w:rPr>
          <w:sz w:val="20"/>
          <w:lang w:val="en-GB"/>
        </w:rPr>
        <w:t>Elizaveta</w:t>
      </w:r>
      <w:r>
        <w:rPr>
          <w:sz w:val="20"/>
          <w:lang w:val="en-GB"/>
        </w:rPr>
        <w:t xml:space="preserve"> </w:t>
      </w:r>
      <w:r w:rsidR="0040753E">
        <w:rPr>
          <w:sz w:val="20"/>
          <w:lang w:val="en-GB"/>
        </w:rPr>
        <w:t>VLASENKO</w:t>
      </w:r>
    </w:p>
    <w:p w14:paraId="01AAFDF5" w14:textId="20056B6E" w:rsidR="005E472F" w:rsidRDefault="005E472F" w:rsidP="005E472F">
      <w:pPr>
        <w:spacing w:line="256" w:lineRule="auto"/>
        <w:rPr>
          <w:sz w:val="20"/>
          <w:lang w:val="en-GB"/>
        </w:rPr>
      </w:pPr>
      <w:r>
        <w:rPr>
          <w:sz w:val="20"/>
          <w:lang w:val="en-GB"/>
        </w:rPr>
        <w:t>Academic Year: 20</w:t>
      </w:r>
      <w:r w:rsidR="0040753E">
        <w:rPr>
          <w:sz w:val="20"/>
          <w:lang w:val="en-GB"/>
        </w:rPr>
        <w:t>22</w:t>
      </w:r>
      <w:r>
        <w:rPr>
          <w:sz w:val="20"/>
          <w:lang w:val="en-GB"/>
        </w:rPr>
        <w:t>/20</w:t>
      </w:r>
      <w:r w:rsidR="0040753E">
        <w:rPr>
          <w:sz w:val="20"/>
          <w:lang w:val="en-GB"/>
        </w:rPr>
        <w:t>23</w:t>
      </w:r>
    </w:p>
    <w:p w14:paraId="17DD5881" w14:textId="77777777" w:rsidR="005E472F" w:rsidRDefault="005E472F" w:rsidP="005E472F">
      <w:pPr>
        <w:spacing w:line="256" w:lineRule="auto"/>
        <w:rPr>
          <w:sz w:val="20"/>
          <w:lang w:val="en-GB"/>
        </w:rPr>
      </w:pPr>
      <w:r>
        <w:rPr>
          <w:sz w:val="20"/>
          <w:lang w:val="en-GB"/>
        </w:rPr>
        <w:t>Department: Department of Accounting and Finance, Faculty of Economics, University of South Bohemia in Ceske Budejovice, Czech Republic</w:t>
      </w:r>
    </w:p>
    <w:p w14:paraId="2198FEB2" w14:textId="55163D9B" w:rsidR="005E472F" w:rsidRDefault="005E472F" w:rsidP="005E472F">
      <w:pPr>
        <w:spacing w:line="256" w:lineRule="auto"/>
        <w:rPr>
          <w:sz w:val="20"/>
          <w:lang w:val="en-GB"/>
        </w:rPr>
      </w:pPr>
      <w:r>
        <w:rPr>
          <w:sz w:val="20"/>
          <w:lang w:val="en-GB"/>
        </w:rPr>
        <w:t xml:space="preserve">Thesis supervisor: </w:t>
      </w:r>
      <w:r w:rsidR="004B0E09" w:rsidRPr="004B0E09">
        <w:rPr>
          <w:sz w:val="20"/>
          <w:lang w:val="en-GB"/>
        </w:rPr>
        <w:t xml:space="preserve">Ing. Daniel </w:t>
      </w:r>
      <w:proofErr w:type="spellStart"/>
      <w:r w:rsidR="004B0E09" w:rsidRPr="004B0E09">
        <w:rPr>
          <w:sz w:val="20"/>
          <w:lang w:val="en-GB"/>
        </w:rPr>
        <w:t>Kopta</w:t>
      </w:r>
      <w:proofErr w:type="spellEnd"/>
      <w:r w:rsidR="004B0E09" w:rsidRPr="004B0E09">
        <w:rPr>
          <w:sz w:val="20"/>
          <w:lang w:val="en-GB"/>
        </w:rPr>
        <w:t xml:space="preserve"> Ph.D.</w:t>
      </w:r>
    </w:p>
    <w:p w14:paraId="056FB521" w14:textId="77777777" w:rsidR="005E472F" w:rsidRDefault="005E472F" w:rsidP="005E472F">
      <w:pPr>
        <w:spacing w:line="256" w:lineRule="auto"/>
        <w:rPr>
          <w:sz w:val="20"/>
          <w:lang w:val="en-GB"/>
        </w:rPr>
      </w:pPr>
      <w:r>
        <w:rPr>
          <w:sz w:val="20"/>
          <w:lang w:val="en-GB"/>
        </w:rPr>
        <w:t xml:space="preserve">Number of pages: </w:t>
      </w:r>
    </w:p>
    <w:p w14:paraId="29846AE3" w14:textId="77777777" w:rsidR="005E472F" w:rsidRDefault="005E472F" w:rsidP="005E472F">
      <w:pPr>
        <w:spacing w:line="256" w:lineRule="auto"/>
        <w:rPr>
          <w:sz w:val="20"/>
          <w:lang w:val="en-GB"/>
        </w:rPr>
      </w:pPr>
      <w:r>
        <w:rPr>
          <w:sz w:val="20"/>
          <w:lang w:val="en-GB"/>
        </w:rPr>
        <w:t>Language od thesis: CZ/ENG</w:t>
      </w:r>
    </w:p>
    <w:p w14:paraId="58054D45" w14:textId="326BD144" w:rsidR="005E472F" w:rsidRDefault="005E472F" w:rsidP="005E472F">
      <w:pPr>
        <w:spacing w:line="256" w:lineRule="auto"/>
        <w:rPr>
          <w:sz w:val="20"/>
          <w:lang w:val="en-GB"/>
        </w:rPr>
      </w:pPr>
      <w:r>
        <w:rPr>
          <w:sz w:val="20"/>
          <w:lang w:val="en-GB"/>
        </w:rPr>
        <w:t xml:space="preserve">Title of Thesis: </w:t>
      </w:r>
      <w:r w:rsidR="0040753E" w:rsidRPr="0040753E">
        <w:rPr>
          <w:sz w:val="20"/>
          <w:lang w:val="en-GB"/>
        </w:rPr>
        <w:t>Creation and Application of the System of Financial Evaluation</w:t>
      </w:r>
    </w:p>
    <w:p w14:paraId="0118E7E6" w14:textId="77777777" w:rsidR="0040753E" w:rsidRPr="0040753E" w:rsidRDefault="005E472F" w:rsidP="0040753E">
      <w:pPr>
        <w:spacing w:line="256" w:lineRule="auto"/>
        <w:rPr>
          <w:sz w:val="20"/>
          <w:lang w:val="en-GB"/>
        </w:rPr>
      </w:pPr>
      <w:r>
        <w:rPr>
          <w:sz w:val="20"/>
          <w:lang w:val="en-GB"/>
        </w:rPr>
        <w:t xml:space="preserve">Annotation: </w:t>
      </w:r>
      <w:r w:rsidR="0040753E" w:rsidRPr="0040753E">
        <w:rPr>
          <w:sz w:val="20"/>
          <w:lang w:val="en-GB"/>
        </w:rPr>
        <w:t xml:space="preserve">The bachelor thesis is devoted to the creation of a system of financial evaluation of companies using data from financial reports. Types of statistical indicators and possible ways of their formal systematization are known, but there is no single evaluation system for each individual business. </w:t>
      </w:r>
    </w:p>
    <w:p w14:paraId="3385100A" w14:textId="77777777" w:rsidR="0040753E" w:rsidRPr="0040753E" w:rsidRDefault="0040753E" w:rsidP="0040753E">
      <w:pPr>
        <w:spacing w:line="256" w:lineRule="auto"/>
        <w:rPr>
          <w:sz w:val="20"/>
          <w:lang w:val="en-GB"/>
        </w:rPr>
      </w:pPr>
      <w:r w:rsidRPr="0040753E">
        <w:rPr>
          <w:sz w:val="20"/>
          <w:lang w:val="en-GB"/>
        </w:rPr>
        <w:t xml:space="preserve">The purpose of this work is to propose an evaluation system for a particular company </w:t>
      </w:r>
      <w:proofErr w:type="spellStart"/>
      <w:r w:rsidRPr="0040753E">
        <w:rPr>
          <w:sz w:val="20"/>
          <w:lang w:val="en-GB"/>
        </w:rPr>
        <w:t>Mlékárna</w:t>
      </w:r>
      <w:proofErr w:type="spellEnd"/>
      <w:r w:rsidRPr="0040753E">
        <w:rPr>
          <w:sz w:val="20"/>
          <w:lang w:val="en-GB"/>
        </w:rPr>
        <w:t xml:space="preserve"> </w:t>
      </w:r>
      <w:proofErr w:type="spellStart"/>
      <w:r w:rsidRPr="0040753E">
        <w:rPr>
          <w:sz w:val="20"/>
          <w:lang w:val="en-GB"/>
        </w:rPr>
        <w:t>Kunín</w:t>
      </w:r>
      <w:proofErr w:type="spellEnd"/>
      <w:r w:rsidRPr="0040753E">
        <w:rPr>
          <w:sz w:val="20"/>
          <w:lang w:val="en-GB"/>
        </w:rPr>
        <w:t xml:space="preserve">, </w:t>
      </w:r>
      <w:proofErr w:type="spellStart"/>
      <w:r w:rsidRPr="0040753E">
        <w:rPr>
          <w:sz w:val="20"/>
          <w:lang w:val="en-GB"/>
        </w:rPr>
        <w:t>s.r.o</w:t>
      </w:r>
      <w:proofErr w:type="spellEnd"/>
      <w:r w:rsidRPr="0040753E">
        <w:rPr>
          <w:sz w:val="20"/>
          <w:lang w:val="en-GB"/>
        </w:rPr>
        <w:t xml:space="preserve"> on the basis of financial indicators and the choice of existing evaluation methods. The analysis is based on the analysis of problem areas of the company using classical ratio indicators and prediction models. The company's industry and competitive situation are also </w:t>
      </w:r>
      <w:proofErr w:type="gramStart"/>
      <w:r w:rsidRPr="0040753E">
        <w:rPr>
          <w:sz w:val="20"/>
          <w:lang w:val="en-GB"/>
        </w:rPr>
        <w:t>taken into account</w:t>
      </w:r>
      <w:proofErr w:type="gramEnd"/>
      <w:r w:rsidRPr="0040753E">
        <w:rPr>
          <w:sz w:val="20"/>
          <w:lang w:val="en-GB"/>
        </w:rPr>
        <w:t>.</w:t>
      </w:r>
    </w:p>
    <w:p w14:paraId="5E7242DB" w14:textId="12C50CEE" w:rsidR="005E472F" w:rsidRDefault="0040753E" w:rsidP="0040753E">
      <w:pPr>
        <w:spacing w:line="256" w:lineRule="auto"/>
        <w:rPr>
          <w:sz w:val="20"/>
          <w:lang w:val="en-GB"/>
        </w:rPr>
      </w:pPr>
      <w:r w:rsidRPr="0040753E">
        <w:rPr>
          <w:sz w:val="20"/>
          <w:lang w:val="en-GB"/>
        </w:rPr>
        <w:t>The conclusion of the analytical part is an assessment of both the results for the further development of the company as well as the functionality of the proposed methodology.</w:t>
      </w:r>
    </w:p>
    <w:p w14:paraId="607BAFE3" w14:textId="786364CE" w:rsidR="005E472F" w:rsidRPr="0040753E" w:rsidRDefault="005E472F" w:rsidP="005E472F">
      <w:pPr>
        <w:spacing w:line="256" w:lineRule="auto"/>
        <w:rPr>
          <w:sz w:val="20"/>
        </w:rPr>
      </w:pPr>
      <w:r>
        <w:rPr>
          <w:sz w:val="20"/>
          <w:lang w:val="en-GB"/>
        </w:rPr>
        <w:t xml:space="preserve">Key words: </w:t>
      </w:r>
      <w:r w:rsidR="0040753E" w:rsidRPr="0040753E">
        <w:rPr>
          <w:sz w:val="20"/>
          <w:lang w:val="en-GB"/>
        </w:rPr>
        <w:t>company valuation, financial analysis, valuation methods, statistical indicators, accounting reports</w:t>
      </w:r>
    </w:p>
    <w:p w14:paraId="041779A0" w14:textId="77777777" w:rsidR="005E472F" w:rsidRDefault="005E472F" w:rsidP="005E472F">
      <w:pPr>
        <w:pBdr>
          <w:bottom w:val="single" w:sz="6" w:space="1" w:color="auto"/>
        </w:pBdr>
        <w:spacing w:line="256" w:lineRule="auto"/>
        <w:rPr>
          <w:sz w:val="20"/>
        </w:rPr>
      </w:pPr>
    </w:p>
    <w:p w14:paraId="13A1A0A8" w14:textId="77777777" w:rsidR="005E472F" w:rsidRDefault="005E472F" w:rsidP="005E472F">
      <w:pPr>
        <w:spacing w:line="256" w:lineRule="auto"/>
        <w:rPr>
          <w:sz w:val="20"/>
        </w:rPr>
      </w:pPr>
      <w:r>
        <w:rPr>
          <w:sz w:val="20"/>
        </w:rPr>
        <w:t>Přílohy volně vložené:</w:t>
      </w:r>
    </w:p>
    <w:p w14:paraId="3A9D02FB" w14:textId="77777777" w:rsidR="005E472F" w:rsidRDefault="005E472F" w:rsidP="005E472F">
      <w:pPr>
        <w:spacing w:line="256" w:lineRule="auto"/>
        <w:rPr>
          <w:sz w:val="20"/>
        </w:rPr>
      </w:pPr>
      <w:r>
        <w:rPr>
          <w:sz w:val="20"/>
        </w:rPr>
        <w:t>Přílohy vázané v práci:</w:t>
      </w:r>
    </w:p>
    <w:p w14:paraId="00E09C56" w14:textId="77777777" w:rsidR="005E472F" w:rsidRPr="005E472F" w:rsidRDefault="005E472F">
      <w:pPr>
        <w:rPr>
          <w:sz w:val="20"/>
          <w:szCs w:val="20"/>
        </w:rPr>
      </w:pPr>
    </w:p>
    <w:sectPr w:rsidR="005E472F" w:rsidRPr="005E472F" w:rsidSect="00B14596">
      <w:footerReference w:type="default" r:id="rId13"/>
      <w:pgSz w:w="11906" w:h="16838"/>
      <w:pgMar w:top="1134" w:right="850" w:bottom="1134" w:left="1701"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7A4A85" w14:textId="77777777" w:rsidR="00A47937" w:rsidRDefault="00A47937" w:rsidP="00B14596">
      <w:pPr>
        <w:spacing w:after="0" w:line="240" w:lineRule="auto"/>
      </w:pPr>
      <w:r>
        <w:separator/>
      </w:r>
    </w:p>
  </w:endnote>
  <w:endnote w:type="continuationSeparator" w:id="0">
    <w:p w14:paraId="04C1D8AC" w14:textId="77777777" w:rsidR="00A47937" w:rsidRDefault="00A47937" w:rsidP="00B145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8172DF" w14:textId="1D2ABB16" w:rsidR="00B14596" w:rsidRDefault="00B14596">
    <w:pPr>
      <w:pStyle w:val="Zpat"/>
      <w:jc w:val="center"/>
    </w:pPr>
  </w:p>
  <w:p w14:paraId="4CC247C8" w14:textId="77777777" w:rsidR="00B14596" w:rsidRDefault="00B14596">
    <w:pPr>
      <w:pStyle w:val="Zpa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8339279"/>
      <w:docPartObj>
        <w:docPartGallery w:val="Page Numbers (Bottom of Page)"/>
        <w:docPartUnique/>
      </w:docPartObj>
    </w:sdtPr>
    <w:sdtContent>
      <w:p w14:paraId="664E4178" w14:textId="7A354643" w:rsidR="00B14596" w:rsidRDefault="00B14596">
        <w:pPr>
          <w:pStyle w:val="Zpat"/>
          <w:jc w:val="center"/>
        </w:pPr>
        <w:r>
          <w:fldChar w:fldCharType="begin"/>
        </w:r>
        <w:r>
          <w:instrText>PAGE   \* MERGEFORMAT</w:instrText>
        </w:r>
        <w:r>
          <w:fldChar w:fldCharType="separate"/>
        </w:r>
        <w:r>
          <w:t>2</w:t>
        </w:r>
        <w:r>
          <w:fldChar w:fldCharType="end"/>
        </w:r>
      </w:p>
    </w:sdtContent>
  </w:sdt>
  <w:p w14:paraId="63328550" w14:textId="77777777" w:rsidR="00B14596" w:rsidRDefault="00B14596">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65EA2F" w14:textId="77777777" w:rsidR="00A47937" w:rsidRDefault="00A47937" w:rsidP="00B14596">
      <w:pPr>
        <w:spacing w:after="0" w:line="240" w:lineRule="auto"/>
      </w:pPr>
      <w:r>
        <w:separator/>
      </w:r>
    </w:p>
  </w:footnote>
  <w:footnote w:type="continuationSeparator" w:id="0">
    <w:p w14:paraId="5CC1C47B" w14:textId="77777777" w:rsidR="00A47937" w:rsidRDefault="00A47937" w:rsidP="00B1459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BB4C8A"/>
    <w:multiLevelType w:val="hybridMultilevel"/>
    <w:tmpl w:val="F95833FE"/>
    <w:lvl w:ilvl="0" w:tplc="04050001">
      <w:start w:val="1"/>
      <w:numFmt w:val="bullet"/>
      <w:lvlText w:val=""/>
      <w:lvlJc w:val="left"/>
      <w:pPr>
        <w:ind w:left="1429" w:hanging="360"/>
      </w:pPr>
      <w:rPr>
        <w:rFonts w:ascii="Symbol" w:hAnsi="Symbol" w:hint="default"/>
      </w:rPr>
    </w:lvl>
    <w:lvl w:ilvl="1" w:tplc="04050003" w:tentative="1">
      <w:start w:val="1"/>
      <w:numFmt w:val="bullet"/>
      <w:lvlText w:val="o"/>
      <w:lvlJc w:val="left"/>
      <w:pPr>
        <w:ind w:left="2149" w:hanging="360"/>
      </w:pPr>
      <w:rPr>
        <w:rFonts w:ascii="Courier New" w:hAnsi="Courier New" w:cs="Courier New" w:hint="default"/>
      </w:rPr>
    </w:lvl>
    <w:lvl w:ilvl="2" w:tplc="04050005" w:tentative="1">
      <w:start w:val="1"/>
      <w:numFmt w:val="bullet"/>
      <w:lvlText w:val=""/>
      <w:lvlJc w:val="left"/>
      <w:pPr>
        <w:ind w:left="2869" w:hanging="360"/>
      </w:pPr>
      <w:rPr>
        <w:rFonts w:ascii="Wingdings" w:hAnsi="Wingdings" w:hint="default"/>
      </w:rPr>
    </w:lvl>
    <w:lvl w:ilvl="3" w:tplc="04050001" w:tentative="1">
      <w:start w:val="1"/>
      <w:numFmt w:val="bullet"/>
      <w:lvlText w:val=""/>
      <w:lvlJc w:val="left"/>
      <w:pPr>
        <w:ind w:left="3589" w:hanging="360"/>
      </w:pPr>
      <w:rPr>
        <w:rFonts w:ascii="Symbol" w:hAnsi="Symbol" w:hint="default"/>
      </w:rPr>
    </w:lvl>
    <w:lvl w:ilvl="4" w:tplc="04050003" w:tentative="1">
      <w:start w:val="1"/>
      <w:numFmt w:val="bullet"/>
      <w:lvlText w:val="o"/>
      <w:lvlJc w:val="left"/>
      <w:pPr>
        <w:ind w:left="4309" w:hanging="360"/>
      </w:pPr>
      <w:rPr>
        <w:rFonts w:ascii="Courier New" w:hAnsi="Courier New" w:cs="Courier New" w:hint="default"/>
      </w:rPr>
    </w:lvl>
    <w:lvl w:ilvl="5" w:tplc="04050005" w:tentative="1">
      <w:start w:val="1"/>
      <w:numFmt w:val="bullet"/>
      <w:lvlText w:val=""/>
      <w:lvlJc w:val="left"/>
      <w:pPr>
        <w:ind w:left="5029" w:hanging="360"/>
      </w:pPr>
      <w:rPr>
        <w:rFonts w:ascii="Wingdings" w:hAnsi="Wingdings" w:hint="default"/>
      </w:rPr>
    </w:lvl>
    <w:lvl w:ilvl="6" w:tplc="04050001" w:tentative="1">
      <w:start w:val="1"/>
      <w:numFmt w:val="bullet"/>
      <w:lvlText w:val=""/>
      <w:lvlJc w:val="left"/>
      <w:pPr>
        <w:ind w:left="5749" w:hanging="360"/>
      </w:pPr>
      <w:rPr>
        <w:rFonts w:ascii="Symbol" w:hAnsi="Symbol" w:hint="default"/>
      </w:rPr>
    </w:lvl>
    <w:lvl w:ilvl="7" w:tplc="04050003" w:tentative="1">
      <w:start w:val="1"/>
      <w:numFmt w:val="bullet"/>
      <w:lvlText w:val="o"/>
      <w:lvlJc w:val="left"/>
      <w:pPr>
        <w:ind w:left="6469" w:hanging="360"/>
      </w:pPr>
      <w:rPr>
        <w:rFonts w:ascii="Courier New" w:hAnsi="Courier New" w:cs="Courier New" w:hint="default"/>
      </w:rPr>
    </w:lvl>
    <w:lvl w:ilvl="8" w:tplc="04050005" w:tentative="1">
      <w:start w:val="1"/>
      <w:numFmt w:val="bullet"/>
      <w:lvlText w:val=""/>
      <w:lvlJc w:val="left"/>
      <w:pPr>
        <w:ind w:left="7189" w:hanging="360"/>
      </w:pPr>
      <w:rPr>
        <w:rFonts w:ascii="Wingdings" w:hAnsi="Wingdings" w:hint="default"/>
      </w:rPr>
    </w:lvl>
  </w:abstractNum>
  <w:abstractNum w:abstractNumId="1" w15:restartNumberingAfterBreak="0">
    <w:nsid w:val="4AF7297D"/>
    <w:multiLevelType w:val="hybridMultilevel"/>
    <w:tmpl w:val="DB922C82"/>
    <w:lvl w:ilvl="0" w:tplc="D9588324">
      <w:start w:val="1"/>
      <w:numFmt w:val="bullet"/>
      <w:lvlText w:val="-"/>
      <w:lvlJc w:val="left"/>
      <w:pPr>
        <w:ind w:left="1429" w:hanging="360"/>
      </w:pPr>
      <w:rPr>
        <w:rFonts w:ascii="Times New Roman"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15:restartNumberingAfterBreak="0">
    <w:nsid w:val="4F7035CE"/>
    <w:multiLevelType w:val="hybridMultilevel"/>
    <w:tmpl w:val="DC92864A"/>
    <w:lvl w:ilvl="0" w:tplc="04190011">
      <w:start w:val="1"/>
      <w:numFmt w:val="decimal"/>
      <w:lvlText w:val="%1)"/>
      <w:lvlJc w:val="left"/>
      <w:pPr>
        <w:ind w:left="1003" w:hanging="360"/>
      </w:pPr>
    </w:lvl>
    <w:lvl w:ilvl="1" w:tplc="04050019" w:tentative="1">
      <w:start w:val="1"/>
      <w:numFmt w:val="lowerLetter"/>
      <w:lvlText w:val="%2."/>
      <w:lvlJc w:val="left"/>
      <w:pPr>
        <w:ind w:left="1723" w:hanging="360"/>
      </w:pPr>
    </w:lvl>
    <w:lvl w:ilvl="2" w:tplc="0405001B" w:tentative="1">
      <w:start w:val="1"/>
      <w:numFmt w:val="lowerRoman"/>
      <w:lvlText w:val="%3."/>
      <w:lvlJc w:val="right"/>
      <w:pPr>
        <w:ind w:left="2443" w:hanging="180"/>
      </w:pPr>
    </w:lvl>
    <w:lvl w:ilvl="3" w:tplc="0405000F" w:tentative="1">
      <w:start w:val="1"/>
      <w:numFmt w:val="decimal"/>
      <w:lvlText w:val="%4."/>
      <w:lvlJc w:val="left"/>
      <w:pPr>
        <w:ind w:left="3163" w:hanging="360"/>
      </w:pPr>
    </w:lvl>
    <w:lvl w:ilvl="4" w:tplc="04050019" w:tentative="1">
      <w:start w:val="1"/>
      <w:numFmt w:val="lowerLetter"/>
      <w:lvlText w:val="%5."/>
      <w:lvlJc w:val="left"/>
      <w:pPr>
        <w:ind w:left="3883" w:hanging="360"/>
      </w:pPr>
    </w:lvl>
    <w:lvl w:ilvl="5" w:tplc="0405001B" w:tentative="1">
      <w:start w:val="1"/>
      <w:numFmt w:val="lowerRoman"/>
      <w:lvlText w:val="%6."/>
      <w:lvlJc w:val="right"/>
      <w:pPr>
        <w:ind w:left="4603" w:hanging="180"/>
      </w:pPr>
    </w:lvl>
    <w:lvl w:ilvl="6" w:tplc="0405000F" w:tentative="1">
      <w:start w:val="1"/>
      <w:numFmt w:val="decimal"/>
      <w:lvlText w:val="%7."/>
      <w:lvlJc w:val="left"/>
      <w:pPr>
        <w:ind w:left="5323" w:hanging="360"/>
      </w:pPr>
    </w:lvl>
    <w:lvl w:ilvl="7" w:tplc="04050019" w:tentative="1">
      <w:start w:val="1"/>
      <w:numFmt w:val="lowerLetter"/>
      <w:lvlText w:val="%8."/>
      <w:lvlJc w:val="left"/>
      <w:pPr>
        <w:ind w:left="6043" w:hanging="360"/>
      </w:pPr>
    </w:lvl>
    <w:lvl w:ilvl="8" w:tplc="0405001B" w:tentative="1">
      <w:start w:val="1"/>
      <w:numFmt w:val="lowerRoman"/>
      <w:lvlText w:val="%9."/>
      <w:lvlJc w:val="right"/>
      <w:pPr>
        <w:ind w:left="6763" w:hanging="180"/>
      </w:pPr>
    </w:lvl>
  </w:abstractNum>
  <w:abstractNum w:abstractNumId="3" w15:restartNumberingAfterBreak="0">
    <w:nsid w:val="58C371FF"/>
    <w:multiLevelType w:val="hybridMultilevel"/>
    <w:tmpl w:val="71D46912"/>
    <w:lvl w:ilvl="0" w:tplc="D9588324">
      <w:start w:val="1"/>
      <w:numFmt w:val="bullet"/>
      <w:lvlText w:val="-"/>
      <w:lvlJc w:val="left"/>
      <w:pPr>
        <w:ind w:left="1429" w:hanging="360"/>
      </w:pPr>
      <w:rPr>
        <w:rFonts w:ascii="Times New Roman" w:hAnsi="Times New Roman" w:cs="Times New Roman"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4" w15:restartNumberingAfterBreak="0">
    <w:nsid w:val="598A5464"/>
    <w:multiLevelType w:val="hybridMultilevel"/>
    <w:tmpl w:val="7AE65196"/>
    <w:lvl w:ilvl="0" w:tplc="04050001">
      <w:start w:val="1"/>
      <w:numFmt w:val="bullet"/>
      <w:lvlText w:val=""/>
      <w:lvlJc w:val="left"/>
      <w:pPr>
        <w:ind w:left="1429" w:hanging="360"/>
      </w:pPr>
      <w:rPr>
        <w:rFonts w:ascii="Symbol" w:hAnsi="Symbol" w:hint="default"/>
      </w:rPr>
    </w:lvl>
    <w:lvl w:ilvl="1" w:tplc="04050003" w:tentative="1">
      <w:start w:val="1"/>
      <w:numFmt w:val="bullet"/>
      <w:lvlText w:val="o"/>
      <w:lvlJc w:val="left"/>
      <w:pPr>
        <w:ind w:left="2149" w:hanging="360"/>
      </w:pPr>
      <w:rPr>
        <w:rFonts w:ascii="Courier New" w:hAnsi="Courier New" w:cs="Courier New" w:hint="default"/>
      </w:rPr>
    </w:lvl>
    <w:lvl w:ilvl="2" w:tplc="04050005" w:tentative="1">
      <w:start w:val="1"/>
      <w:numFmt w:val="bullet"/>
      <w:lvlText w:val=""/>
      <w:lvlJc w:val="left"/>
      <w:pPr>
        <w:ind w:left="2869" w:hanging="360"/>
      </w:pPr>
      <w:rPr>
        <w:rFonts w:ascii="Wingdings" w:hAnsi="Wingdings" w:hint="default"/>
      </w:rPr>
    </w:lvl>
    <w:lvl w:ilvl="3" w:tplc="04050001" w:tentative="1">
      <w:start w:val="1"/>
      <w:numFmt w:val="bullet"/>
      <w:lvlText w:val=""/>
      <w:lvlJc w:val="left"/>
      <w:pPr>
        <w:ind w:left="3589" w:hanging="360"/>
      </w:pPr>
      <w:rPr>
        <w:rFonts w:ascii="Symbol" w:hAnsi="Symbol" w:hint="default"/>
      </w:rPr>
    </w:lvl>
    <w:lvl w:ilvl="4" w:tplc="04050003" w:tentative="1">
      <w:start w:val="1"/>
      <w:numFmt w:val="bullet"/>
      <w:lvlText w:val="o"/>
      <w:lvlJc w:val="left"/>
      <w:pPr>
        <w:ind w:left="4309" w:hanging="360"/>
      </w:pPr>
      <w:rPr>
        <w:rFonts w:ascii="Courier New" w:hAnsi="Courier New" w:cs="Courier New" w:hint="default"/>
      </w:rPr>
    </w:lvl>
    <w:lvl w:ilvl="5" w:tplc="04050005" w:tentative="1">
      <w:start w:val="1"/>
      <w:numFmt w:val="bullet"/>
      <w:lvlText w:val=""/>
      <w:lvlJc w:val="left"/>
      <w:pPr>
        <w:ind w:left="5029" w:hanging="360"/>
      </w:pPr>
      <w:rPr>
        <w:rFonts w:ascii="Wingdings" w:hAnsi="Wingdings" w:hint="default"/>
      </w:rPr>
    </w:lvl>
    <w:lvl w:ilvl="6" w:tplc="04050001" w:tentative="1">
      <w:start w:val="1"/>
      <w:numFmt w:val="bullet"/>
      <w:lvlText w:val=""/>
      <w:lvlJc w:val="left"/>
      <w:pPr>
        <w:ind w:left="5749" w:hanging="360"/>
      </w:pPr>
      <w:rPr>
        <w:rFonts w:ascii="Symbol" w:hAnsi="Symbol" w:hint="default"/>
      </w:rPr>
    </w:lvl>
    <w:lvl w:ilvl="7" w:tplc="04050003" w:tentative="1">
      <w:start w:val="1"/>
      <w:numFmt w:val="bullet"/>
      <w:lvlText w:val="o"/>
      <w:lvlJc w:val="left"/>
      <w:pPr>
        <w:ind w:left="6469" w:hanging="360"/>
      </w:pPr>
      <w:rPr>
        <w:rFonts w:ascii="Courier New" w:hAnsi="Courier New" w:cs="Courier New" w:hint="default"/>
      </w:rPr>
    </w:lvl>
    <w:lvl w:ilvl="8" w:tplc="04050005" w:tentative="1">
      <w:start w:val="1"/>
      <w:numFmt w:val="bullet"/>
      <w:lvlText w:val=""/>
      <w:lvlJc w:val="left"/>
      <w:pPr>
        <w:ind w:left="7189" w:hanging="360"/>
      </w:pPr>
      <w:rPr>
        <w:rFonts w:ascii="Wingdings" w:hAnsi="Wingdings" w:hint="default"/>
      </w:rPr>
    </w:lvl>
  </w:abstractNum>
  <w:abstractNum w:abstractNumId="5" w15:restartNumberingAfterBreak="0">
    <w:nsid w:val="5E8F4D49"/>
    <w:multiLevelType w:val="hybridMultilevel"/>
    <w:tmpl w:val="5CA8062C"/>
    <w:lvl w:ilvl="0" w:tplc="04190003">
      <w:start w:val="1"/>
      <w:numFmt w:val="bullet"/>
      <w:lvlText w:val="o"/>
      <w:lvlJc w:val="left"/>
      <w:pPr>
        <w:ind w:left="720" w:hanging="360"/>
      </w:pPr>
      <w:rPr>
        <w:rFonts w:ascii="Courier New" w:hAnsi="Courier New" w:cs="Courier Ne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15:restartNumberingAfterBreak="0">
    <w:nsid w:val="69C45B1E"/>
    <w:multiLevelType w:val="hybridMultilevel"/>
    <w:tmpl w:val="9E8CC7B2"/>
    <w:lvl w:ilvl="0" w:tplc="4BC64FF4">
      <w:numFmt w:val="bullet"/>
      <w:lvlText w:val="-"/>
      <w:lvlJc w:val="left"/>
      <w:pPr>
        <w:ind w:left="720" w:hanging="360"/>
      </w:pPr>
      <w:rPr>
        <w:rFonts w:ascii="Times New Roman" w:eastAsiaTheme="minorHAnsi"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16cid:durableId="13659378">
    <w:abstractNumId w:val="2"/>
  </w:num>
  <w:num w:numId="2" w16cid:durableId="1581210393">
    <w:abstractNumId w:val="4"/>
  </w:num>
  <w:num w:numId="3" w16cid:durableId="820848587">
    <w:abstractNumId w:val="6"/>
  </w:num>
  <w:num w:numId="4" w16cid:durableId="2099016735">
    <w:abstractNumId w:val="0"/>
  </w:num>
  <w:num w:numId="5" w16cid:durableId="112331997">
    <w:abstractNumId w:val="3"/>
  </w:num>
  <w:num w:numId="6" w16cid:durableId="898711043">
    <w:abstractNumId w:val="1"/>
  </w:num>
  <w:num w:numId="7" w16cid:durableId="135360410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472F"/>
    <w:rsid w:val="00022942"/>
    <w:rsid w:val="000815B2"/>
    <w:rsid w:val="00164227"/>
    <w:rsid w:val="00165AD3"/>
    <w:rsid w:val="001A2688"/>
    <w:rsid w:val="00207E57"/>
    <w:rsid w:val="00276BE2"/>
    <w:rsid w:val="002D410B"/>
    <w:rsid w:val="002F028C"/>
    <w:rsid w:val="003702E5"/>
    <w:rsid w:val="003D6576"/>
    <w:rsid w:val="0040018C"/>
    <w:rsid w:val="0040753E"/>
    <w:rsid w:val="00447995"/>
    <w:rsid w:val="004A74AC"/>
    <w:rsid w:val="004B0E09"/>
    <w:rsid w:val="004B2797"/>
    <w:rsid w:val="00504BE3"/>
    <w:rsid w:val="00530AB9"/>
    <w:rsid w:val="00534BD3"/>
    <w:rsid w:val="005E472F"/>
    <w:rsid w:val="005F324E"/>
    <w:rsid w:val="00652334"/>
    <w:rsid w:val="006C7E37"/>
    <w:rsid w:val="00744400"/>
    <w:rsid w:val="007C212A"/>
    <w:rsid w:val="0087008C"/>
    <w:rsid w:val="0089716F"/>
    <w:rsid w:val="009142FC"/>
    <w:rsid w:val="00921670"/>
    <w:rsid w:val="00987CC5"/>
    <w:rsid w:val="00A0736B"/>
    <w:rsid w:val="00A47937"/>
    <w:rsid w:val="00A63FE1"/>
    <w:rsid w:val="00B14596"/>
    <w:rsid w:val="00B41824"/>
    <w:rsid w:val="00B50FF2"/>
    <w:rsid w:val="00B71BF1"/>
    <w:rsid w:val="00BD4CFD"/>
    <w:rsid w:val="00C0620D"/>
    <w:rsid w:val="00C23E75"/>
    <w:rsid w:val="00C56A10"/>
    <w:rsid w:val="00C76FD5"/>
    <w:rsid w:val="00C937B7"/>
    <w:rsid w:val="00CF4C10"/>
    <w:rsid w:val="00D433F4"/>
    <w:rsid w:val="00DC5606"/>
    <w:rsid w:val="00E17DBC"/>
    <w:rsid w:val="00E723E3"/>
    <w:rsid w:val="00EA017D"/>
    <w:rsid w:val="00EB2015"/>
    <w:rsid w:val="00EC6E52"/>
    <w:rsid w:val="00ED2CD4"/>
    <w:rsid w:val="00F07452"/>
    <w:rsid w:val="00F34030"/>
    <w:rsid w:val="00F46520"/>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786886"/>
  <w15:chartTrackingRefBased/>
  <w15:docId w15:val="{64055F76-5415-4850-B226-FFD6FD18BB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style>
  <w:style w:type="paragraph" w:styleId="Nadpis1">
    <w:name w:val="heading 1"/>
    <w:basedOn w:val="Normln"/>
    <w:next w:val="Normln"/>
    <w:link w:val="Nadpis1Char"/>
    <w:qFormat/>
    <w:rsid w:val="005E472F"/>
    <w:pPr>
      <w:keepNext/>
      <w:spacing w:after="0" w:line="240" w:lineRule="auto"/>
      <w:jc w:val="center"/>
      <w:outlineLvl w:val="0"/>
    </w:pPr>
    <w:rPr>
      <w:rFonts w:ascii="Times New Roman" w:eastAsia="Times New Roman" w:hAnsi="Times New Roman" w:cs="Times New Roman"/>
      <w:b/>
      <w:sz w:val="24"/>
      <w:szCs w:val="20"/>
      <w:lang w:eastAsia="cs-CZ"/>
    </w:rPr>
  </w:style>
  <w:style w:type="paragraph" w:styleId="Nadpis2">
    <w:name w:val="heading 2"/>
    <w:basedOn w:val="Normln"/>
    <w:next w:val="Normln"/>
    <w:link w:val="Nadpis2Char"/>
    <w:uiPriority w:val="9"/>
    <w:semiHidden/>
    <w:unhideWhenUsed/>
    <w:qFormat/>
    <w:rsid w:val="00C56A10"/>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5E472F"/>
    <w:rPr>
      <w:rFonts w:ascii="Times New Roman" w:eastAsia="Times New Roman" w:hAnsi="Times New Roman" w:cs="Times New Roman"/>
      <w:b/>
      <w:sz w:val="24"/>
      <w:szCs w:val="20"/>
      <w:lang w:eastAsia="cs-CZ"/>
    </w:rPr>
  </w:style>
  <w:style w:type="paragraph" w:styleId="Zkladntext">
    <w:name w:val="Body Text"/>
    <w:basedOn w:val="Normln"/>
    <w:link w:val="ZkladntextChar"/>
    <w:semiHidden/>
    <w:unhideWhenUsed/>
    <w:rsid w:val="005E472F"/>
    <w:pPr>
      <w:spacing w:after="0" w:line="240" w:lineRule="auto"/>
      <w:jc w:val="both"/>
    </w:pPr>
    <w:rPr>
      <w:rFonts w:ascii="Times New Roman" w:eastAsia="Times New Roman" w:hAnsi="Times New Roman" w:cs="Times New Roman"/>
      <w:sz w:val="24"/>
      <w:szCs w:val="20"/>
      <w:lang w:eastAsia="cs-CZ"/>
    </w:rPr>
  </w:style>
  <w:style w:type="character" w:customStyle="1" w:styleId="ZkladntextChar">
    <w:name w:val="Základní text Char"/>
    <w:basedOn w:val="Standardnpsmoodstavce"/>
    <w:link w:val="Zkladntext"/>
    <w:semiHidden/>
    <w:rsid w:val="005E472F"/>
    <w:rPr>
      <w:rFonts w:ascii="Times New Roman" w:eastAsia="Times New Roman" w:hAnsi="Times New Roman" w:cs="Times New Roman"/>
      <w:sz w:val="24"/>
      <w:szCs w:val="20"/>
      <w:lang w:eastAsia="cs-CZ"/>
    </w:rPr>
  </w:style>
  <w:style w:type="character" w:customStyle="1" w:styleId="Nadpis2Char">
    <w:name w:val="Nadpis 2 Char"/>
    <w:basedOn w:val="Standardnpsmoodstavce"/>
    <w:link w:val="Nadpis2"/>
    <w:uiPriority w:val="9"/>
    <w:semiHidden/>
    <w:rsid w:val="00C56A10"/>
    <w:rPr>
      <w:rFonts w:asciiTheme="majorHAnsi" w:eastAsiaTheme="majorEastAsia" w:hAnsiTheme="majorHAnsi" w:cstheme="majorBidi"/>
      <w:color w:val="2F5496" w:themeColor="accent1" w:themeShade="BF"/>
      <w:sz w:val="26"/>
      <w:szCs w:val="26"/>
    </w:rPr>
  </w:style>
  <w:style w:type="paragraph" w:styleId="Zkladntextodsazen">
    <w:name w:val="Body Text Indent"/>
    <w:basedOn w:val="Normln"/>
    <w:link w:val="ZkladntextodsazenChar"/>
    <w:uiPriority w:val="99"/>
    <w:semiHidden/>
    <w:unhideWhenUsed/>
    <w:rsid w:val="00C56A10"/>
    <w:pPr>
      <w:spacing w:after="120"/>
      <w:ind w:left="283"/>
    </w:pPr>
  </w:style>
  <w:style w:type="character" w:customStyle="1" w:styleId="ZkladntextodsazenChar">
    <w:name w:val="Základní text odsazený Char"/>
    <w:basedOn w:val="Standardnpsmoodstavce"/>
    <w:link w:val="Zkladntextodsazen"/>
    <w:uiPriority w:val="99"/>
    <w:semiHidden/>
    <w:rsid w:val="00C56A10"/>
  </w:style>
  <w:style w:type="paragraph" w:styleId="Zkladntext2">
    <w:name w:val="Body Text 2"/>
    <w:basedOn w:val="Normln"/>
    <w:link w:val="Zkladntext2Char"/>
    <w:uiPriority w:val="99"/>
    <w:semiHidden/>
    <w:unhideWhenUsed/>
    <w:rsid w:val="00C56A10"/>
    <w:pPr>
      <w:spacing w:after="120" w:line="480" w:lineRule="auto"/>
    </w:pPr>
  </w:style>
  <w:style w:type="character" w:customStyle="1" w:styleId="Zkladntext2Char">
    <w:name w:val="Základní text 2 Char"/>
    <w:basedOn w:val="Standardnpsmoodstavce"/>
    <w:link w:val="Zkladntext2"/>
    <w:uiPriority w:val="99"/>
    <w:semiHidden/>
    <w:rsid w:val="00C56A10"/>
  </w:style>
  <w:style w:type="paragraph" w:styleId="Odstavecseseznamem">
    <w:name w:val="List Paragraph"/>
    <w:basedOn w:val="Normln"/>
    <w:uiPriority w:val="34"/>
    <w:qFormat/>
    <w:rsid w:val="0040018C"/>
    <w:pPr>
      <w:ind w:left="720"/>
      <w:contextualSpacing/>
    </w:pPr>
  </w:style>
  <w:style w:type="table" w:styleId="Prosttabulka1">
    <w:name w:val="Plain Table 1"/>
    <w:basedOn w:val="Normlntabulka"/>
    <w:uiPriority w:val="41"/>
    <w:rsid w:val="002D410B"/>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Podnadpis">
    <w:name w:val="Subtitle"/>
    <w:basedOn w:val="Normln"/>
    <w:next w:val="Normln"/>
    <w:link w:val="PodnadpisChar"/>
    <w:uiPriority w:val="11"/>
    <w:qFormat/>
    <w:rsid w:val="002D410B"/>
    <w:pPr>
      <w:numPr>
        <w:ilvl w:val="1"/>
      </w:numPr>
    </w:pPr>
    <w:rPr>
      <w:rFonts w:ascii="Times New Roman" w:eastAsiaTheme="minorEastAsia" w:hAnsi="Times New Roman"/>
      <w:b/>
      <w:i/>
      <w:spacing w:val="15"/>
    </w:rPr>
  </w:style>
  <w:style w:type="character" w:customStyle="1" w:styleId="PodnadpisChar">
    <w:name w:val="Podnadpis Char"/>
    <w:basedOn w:val="Standardnpsmoodstavce"/>
    <w:link w:val="Podnadpis"/>
    <w:uiPriority w:val="11"/>
    <w:rsid w:val="002D410B"/>
    <w:rPr>
      <w:rFonts w:ascii="Times New Roman" w:eastAsiaTheme="minorEastAsia" w:hAnsi="Times New Roman"/>
      <w:b/>
      <w:i/>
      <w:spacing w:val="15"/>
    </w:rPr>
  </w:style>
  <w:style w:type="paragraph" w:styleId="Titulek">
    <w:name w:val="caption"/>
    <w:basedOn w:val="Normln"/>
    <w:next w:val="Normln"/>
    <w:uiPriority w:val="35"/>
    <w:unhideWhenUsed/>
    <w:qFormat/>
    <w:rsid w:val="000815B2"/>
    <w:pPr>
      <w:spacing w:after="200" w:line="240" w:lineRule="auto"/>
    </w:pPr>
    <w:rPr>
      <w:i/>
      <w:iCs/>
      <w:color w:val="44546A" w:themeColor="text2"/>
      <w:sz w:val="18"/>
      <w:szCs w:val="18"/>
    </w:rPr>
  </w:style>
  <w:style w:type="table" w:styleId="Svtltabulkasmkou1zvraznn3">
    <w:name w:val="Grid Table 1 Light Accent 3"/>
    <w:basedOn w:val="Normlntabulka"/>
    <w:uiPriority w:val="46"/>
    <w:rsid w:val="004B2797"/>
    <w:pPr>
      <w:spacing w:after="0" w:line="240" w:lineRule="auto"/>
    </w:pPr>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paragraph" w:styleId="Zhlav">
    <w:name w:val="header"/>
    <w:basedOn w:val="Normln"/>
    <w:link w:val="ZhlavChar"/>
    <w:uiPriority w:val="99"/>
    <w:unhideWhenUsed/>
    <w:rsid w:val="00B14596"/>
    <w:pPr>
      <w:tabs>
        <w:tab w:val="center" w:pos="4677"/>
        <w:tab w:val="right" w:pos="9355"/>
      </w:tabs>
      <w:spacing w:after="0" w:line="240" w:lineRule="auto"/>
    </w:pPr>
  </w:style>
  <w:style w:type="character" w:customStyle="1" w:styleId="ZhlavChar">
    <w:name w:val="Záhlaví Char"/>
    <w:basedOn w:val="Standardnpsmoodstavce"/>
    <w:link w:val="Zhlav"/>
    <w:uiPriority w:val="99"/>
    <w:rsid w:val="00B14596"/>
  </w:style>
  <w:style w:type="paragraph" w:styleId="Zpat">
    <w:name w:val="footer"/>
    <w:basedOn w:val="Normln"/>
    <w:link w:val="ZpatChar"/>
    <w:uiPriority w:val="99"/>
    <w:unhideWhenUsed/>
    <w:rsid w:val="00B14596"/>
    <w:pPr>
      <w:tabs>
        <w:tab w:val="center" w:pos="4677"/>
        <w:tab w:val="right" w:pos="9355"/>
      </w:tabs>
      <w:spacing w:after="0" w:line="240" w:lineRule="auto"/>
    </w:pPr>
  </w:style>
  <w:style w:type="character" w:customStyle="1" w:styleId="ZpatChar">
    <w:name w:val="Zápatí Char"/>
    <w:basedOn w:val="Standardnpsmoodstavce"/>
    <w:link w:val="Zpat"/>
    <w:uiPriority w:val="99"/>
    <w:rsid w:val="00B1459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6291783">
      <w:bodyDiv w:val="1"/>
      <w:marLeft w:val="0"/>
      <w:marRight w:val="0"/>
      <w:marTop w:val="0"/>
      <w:marBottom w:val="0"/>
      <w:divBdr>
        <w:top w:val="none" w:sz="0" w:space="0" w:color="auto"/>
        <w:left w:val="none" w:sz="0" w:space="0" w:color="auto"/>
        <w:bottom w:val="none" w:sz="0" w:space="0" w:color="auto"/>
        <w:right w:val="none" w:sz="0" w:space="0" w:color="auto"/>
      </w:divBdr>
    </w:div>
    <w:div w:id="492338261">
      <w:bodyDiv w:val="1"/>
      <w:marLeft w:val="0"/>
      <w:marRight w:val="0"/>
      <w:marTop w:val="0"/>
      <w:marBottom w:val="0"/>
      <w:divBdr>
        <w:top w:val="none" w:sz="0" w:space="0" w:color="auto"/>
        <w:left w:val="none" w:sz="0" w:space="0" w:color="auto"/>
        <w:bottom w:val="none" w:sz="0" w:space="0" w:color="auto"/>
        <w:right w:val="none" w:sz="0" w:space="0" w:color="auto"/>
      </w:divBdr>
    </w:div>
    <w:div w:id="499194424">
      <w:bodyDiv w:val="1"/>
      <w:marLeft w:val="0"/>
      <w:marRight w:val="0"/>
      <w:marTop w:val="0"/>
      <w:marBottom w:val="0"/>
      <w:divBdr>
        <w:top w:val="none" w:sz="0" w:space="0" w:color="auto"/>
        <w:left w:val="none" w:sz="0" w:space="0" w:color="auto"/>
        <w:bottom w:val="none" w:sz="0" w:space="0" w:color="auto"/>
        <w:right w:val="none" w:sz="0" w:space="0" w:color="auto"/>
      </w:divBdr>
    </w:div>
    <w:div w:id="1159537384">
      <w:bodyDiv w:val="1"/>
      <w:marLeft w:val="0"/>
      <w:marRight w:val="0"/>
      <w:marTop w:val="0"/>
      <w:marBottom w:val="0"/>
      <w:divBdr>
        <w:top w:val="none" w:sz="0" w:space="0" w:color="auto"/>
        <w:left w:val="none" w:sz="0" w:space="0" w:color="auto"/>
        <w:bottom w:val="none" w:sz="0" w:space="0" w:color="auto"/>
        <w:right w:val="none" w:sz="0" w:space="0" w:color="auto"/>
      </w:divBdr>
    </w:div>
    <w:div w:id="16901372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4.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1040;&#1076;&#1084;&#1080;&#1085;\Desktop\bakalar\vypocet%20ukazatele%20.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1040;&#1076;&#1084;&#1080;&#1085;\Desktop\bakalar\vypocet%20ukazatele.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1040;&#1076;&#1084;&#1080;&#1085;\Desktop\bakalar\vypocet%20ukazatele.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1040;&#1076;&#1084;&#1080;&#1085;\Desktop\bakalar\vypocet%20ukazatele.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0" baseline="0">
                <a:solidFill>
                  <a:schemeClr val="accent1">
                    <a:lumMod val="50000"/>
                  </a:schemeClr>
                </a:solidFill>
                <a:latin typeface="+mn-lt"/>
                <a:ea typeface="+mn-ea"/>
                <a:cs typeface="+mn-cs"/>
              </a:defRPr>
            </a:pPr>
            <a:r>
              <a:rPr lang="cs-CZ" sz="1600" b="1">
                <a:solidFill>
                  <a:schemeClr val="accent1">
                    <a:lumMod val="50000"/>
                  </a:schemeClr>
                </a:solidFill>
              </a:rPr>
              <a:t>Porovnání rentability s průměrem konkurentů</a:t>
            </a:r>
            <a:endParaRPr lang="ru-RU" sz="1600" b="1">
              <a:solidFill>
                <a:schemeClr val="accent1">
                  <a:lumMod val="50000"/>
                </a:schemeClr>
              </a:solidFill>
            </a:endParaRPr>
          </a:p>
        </c:rich>
      </c:tx>
      <c:layout>
        <c:manualLayout>
          <c:xMode val="edge"/>
          <c:yMode val="edge"/>
          <c:x val="0.13338538179773507"/>
          <c:y val="1.955990966245498E-2"/>
        </c:manualLayout>
      </c:layout>
      <c:overlay val="0"/>
      <c:spPr>
        <a:noFill/>
        <a:ln>
          <a:noFill/>
        </a:ln>
        <a:effectLst/>
      </c:spPr>
      <c:txPr>
        <a:bodyPr rot="0" spcFirstLastPara="1" vertOverflow="ellipsis" vert="horz" wrap="square" anchor="ctr" anchorCtr="1"/>
        <a:lstStyle/>
        <a:p>
          <a:pPr>
            <a:defRPr sz="1600" b="1" i="0" u="none" strike="noStrike" kern="1200" spc="0" baseline="0">
              <a:solidFill>
                <a:schemeClr val="accent1">
                  <a:lumMod val="50000"/>
                </a:schemeClr>
              </a:solidFill>
              <a:latin typeface="+mn-lt"/>
              <a:ea typeface="+mn-ea"/>
              <a:cs typeface="+mn-cs"/>
            </a:defRPr>
          </a:pPr>
          <a:endParaRPr lang="cs-CZ"/>
        </a:p>
      </c:txPr>
    </c:title>
    <c:autoTitleDeleted val="0"/>
    <c:plotArea>
      <c:layout/>
      <c:lineChart>
        <c:grouping val="standard"/>
        <c:varyColors val="0"/>
        <c:ser>
          <c:idx val="0"/>
          <c:order val="0"/>
          <c:tx>
            <c:strRef>
              <c:f>Rentabilita!$A$3</c:f>
              <c:strCache>
                <c:ptCount val="1"/>
                <c:pt idx="0">
                  <c:v>ROA</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Rentabilita!$B$10:$F$10</c:f>
              <c:numCache>
                <c:formatCode>General</c:formatCode>
                <c:ptCount val="5"/>
                <c:pt idx="0">
                  <c:v>2017</c:v>
                </c:pt>
                <c:pt idx="1">
                  <c:v>2018</c:v>
                </c:pt>
                <c:pt idx="2">
                  <c:v>2019</c:v>
                </c:pt>
                <c:pt idx="3">
                  <c:v>2020</c:v>
                </c:pt>
                <c:pt idx="4">
                  <c:v>2021</c:v>
                </c:pt>
              </c:numCache>
            </c:numRef>
          </c:cat>
          <c:val>
            <c:numRef>
              <c:f>Rentabilita!$B$3:$F$3</c:f>
              <c:numCache>
                <c:formatCode>0.00%</c:formatCode>
                <c:ptCount val="5"/>
                <c:pt idx="0">
                  <c:v>3.8697725438350684E-2</c:v>
                </c:pt>
                <c:pt idx="1">
                  <c:v>3.7360857710994032E-2</c:v>
                </c:pt>
                <c:pt idx="2">
                  <c:v>3.0155672774324075E-2</c:v>
                </c:pt>
                <c:pt idx="3">
                  <c:v>5.8100848791729554E-2</c:v>
                </c:pt>
                <c:pt idx="4">
                  <c:v>5.1944276490829361E-2</c:v>
                </c:pt>
              </c:numCache>
            </c:numRef>
          </c:val>
          <c:smooth val="0"/>
          <c:extLst>
            <c:ext xmlns:c16="http://schemas.microsoft.com/office/drawing/2014/chart" uri="{C3380CC4-5D6E-409C-BE32-E72D297353CC}">
              <c16:uniqueId val="{00000000-542C-489B-8349-5308BB6A879E}"/>
            </c:ext>
          </c:extLst>
        </c:ser>
        <c:ser>
          <c:idx val="1"/>
          <c:order val="1"/>
          <c:tx>
            <c:strRef>
              <c:f>Rentabilita!$A$4</c:f>
              <c:strCache>
                <c:ptCount val="1"/>
                <c:pt idx="0">
                  <c:v>ROE</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Rentabilita!$B$10:$F$10</c:f>
              <c:numCache>
                <c:formatCode>General</c:formatCode>
                <c:ptCount val="5"/>
                <c:pt idx="0">
                  <c:v>2017</c:v>
                </c:pt>
                <c:pt idx="1">
                  <c:v>2018</c:v>
                </c:pt>
                <c:pt idx="2">
                  <c:v>2019</c:v>
                </c:pt>
                <c:pt idx="3">
                  <c:v>2020</c:v>
                </c:pt>
                <c:pt idx="4">
                  <c:v>2021</c:v>
                </c:pt>
              </c:numCache>
            </c:numRef>
          </c:cat>
          <c:val>
            <c:numRef>
              <c:f>Rentabilita!$B$4:$F$4</c:f>
              <c:numCache>
                <c:formatCode>0.00%</c:formatCode>
                <c:ptCount val="5"/>
                <c:pt idx="0">
                  <c:v>0.10046759480920017</c:v>
                </c:pt>
                <c:pt idx="1">
                  <c:v>9.2551318655276313E-2</c:v>
                </c:pt>
                <c:pt idx="2">
                  <c:v>7.2396863779585263E-2</c:v>
                </c:pt>
                <c:pt idx="3">
                  <c:v>0.10857190847672726</c:v>
                </c:pt>
                <c:pt idx="4">
                  <c:v>9.8797642799627453E-2</c:v>
                </c:pt>
              </c:numCache>
            </c:numRef>
          </c:val>
          <c:smooth val="0"/>
          <c:extLst>
            <c:ext xmlns:c16="http://schemas.microsoft.com/office/drawing/2014/chart" uri="{C3380CC4-5D6E-409C-BE32-E72D297353CC}">
              <c16:uniqueId val="{00000001-542C-489B-8349-5308BB6A879E}"/>
            </c:ext>
          </c:extLst>
        </c:ser>
        <c:ser>
          <c:idx val="2"/>
          <c:order val="2"/>
          <c:tx>
            <c:strRef>
              <c:f>Rentabilita!$A$5</c:f>
              <c:strCache>
                <c:ptCount val="1"/>
                <c:pt idx="0">
                  <c:v>ROS</c:v>
                </c:pt>
              </c:strCache>
            </c:strRef>
          </c:tx>
          <c:spPr>
            <a:ln w="28575" cap="rnd">
              <a:solidFill>
                <a:schemeClr val="accent4"/>
              </a:solidFill>
              <a:round/>
            </a:ln>
            <a:effectLst/>
          </c:spPr>
          <c:marker>
            <c:symbol val="circle"/>
            <c:size val="5"/>
            <c:spPr>
              <a:solidFill>
                <a:schemeClr val="accent3"/>
              </a:solidFill>
              <a:ln w="9525">
                <a:solidFill>
                  <a:schemeClr val="accent4"/>
                </a:solidFill>
              </a:ln>
              <a:effectLst/>
            </c:spPr>
          </c:marker>
          <c:cat>
            <c:numRef>
              <c:f>Rentabilita!$B$10:$F$10</c:f>
              <c:numCache>
                <c:formatCode>General</c:formatCode>
                <c:ptCount val="5"/>
                <c:pt idx="0">
                  <c:v>2017</c:v>
                </c:pt>
                <c:pt idx="1">
                  <c:v>2018</c:v>
                </c:pt>
                <c:pt idx="2">
                  <c:v>2019</c:v>
                </c:pt>
                <c:pt idx="3">
                  <c:v>2020</c:v>
                </c:pt>
                <c:pt idx="4">
                  <c:v>2021</c:v>
                </c:pt>
              </c:numCache>
            </c:numRef>
          </c:cat>
          <c:val>
            <c:numRef>
              <c:f>Rentabilita!$B$5:$F$5</c:f>
              <c:numCache>
                <c:formatCode>0.00%</c:formatCode>
                <c:ptCount val="5"/>
                <c:pt idx="0">
                  <c:v>1.5329572769100059E-2</c:v>
                </c:pt>
                <c:pt idx="1">
                  <c:v>1.5753291119667386E-2</c:v>
                </c:pt>
                <c:pt idx="2">
                  <c:v>1.3353014033600709E-2</c:v>
                </c:pt>
                <c:pt idx="3">
                  <c:v>2.2070218767368324E-2</c:v>
                </c:pt>
                <c:pt idx="4">
                  <c:v>2.2286541381838599E-2</c:v>
                </c:pt>
              </c:numCache>
            </c:numRef>
          </c:val>
          <c:smooth val="0"/>
          <c:extLst>
            <c:ext xmlns:c16="http://schemas.microsoft.com/office/drawing/2014/chart" uri="{C3380CC4-5D6E-409C-BE32-E72D297353CC}">
              <c16:uniqueId val="{00000002-542C-489B-8349-5308BB6A879E}"/>
            </c:ext>
          </c:extLst>
        </c:ser>
        <c:ser>
          <c:idx val="4"/>
          <c:order val="3"/>
          <c:tx>
            <c:strRef>
              <c:f>Rentabilita!$I$22</c:f>
              <c:strCache>
                <c:ptCount val="1"/>
                <c:pt idx="0">
                  <c:v>Střední ROA</c:v>
                </c:pt>
              </c:strCache>
            </c:strRef>
          </c:tx>
          <c:spPr>
            <a:ln w="28575" cap="rnd">
              <a:solidFill>
                <a:schemeClr val="accent5">
                  <a:lumMod val="75000"/>
                </a:schemeClr>
              </a:solidFill>
              <a:prstDash val="sysDash"/>
              <a:round/>
            </a:ln>
            <a:effectLst/>
          </c:spPr>
          <c:marker>
            <c:symbol val="circle"/>
            <c:size val="5"/>
            <c:spPr>
              <a:solidFill>
                <a:schemeClr val="accent5">
                  <a:lumMod val="75000"/>
                </a:schemeClr>
              </a:solidFill>
              <a:ln w="9525">
                <a:solidFill>
                  <a:schemeClr val="accent5">
                    <a:lumMod val="75000"/>
                  </a:schemeClr>
                </a:solidFill>
              </a:ln>
              <a:effectLst/>
            </c:spPr>
          </c:marker>
          <c:cat>
            <c:numRef>
              <c:f>Rentabilita!$B$10:$F$10</c:f>
              <c:numCache>
                <c:formatCode>General</c:formatCode>
                <c:ptCount val="5"/>
                <c:pt idx="0">
                  <c:v>2017</c:v>
                </c:pt>
                <c:pt idx="1">
                  <c:v>2018</c:v>
                </c:pt>
                <c:pt idx="2">
                  <c:v>2019</c:v>
                </c:pt>
                <c:pt idx="3">
                  <c:v>2020</c:v>
                </c:pt>
                <c:pt idx="4">
                  <c:v>2021</c:v>
                </c:pt>
              </c:numCache>
            </c:numRef>
          </c:cat>
          <c:val>
            <c:numRef>
              <c:f>Rentabilita!$I$12:$M$12</c:f>
              <c:numCache>
                <c:formatCode>0.00%</c:formatCode>
                <c:ptCount val="5"/>
                <c:pt idx="0">
                  <c:v>7.1855756014109207E-2</c:v>
                </c:pt>
                <c:pt idx="1">
                  <c:v>8.6604091918770207E-2</c:v>
                </c:pt>
                <c:pt idx="2">
                  <c:v>7.6690215454531002E-2</c:v>
                </c:pt>
                <c:pt idx="3">
                  <c:v>7.454187288917119E-2</c:v>
                </c:pt>
                <c:pt idx="4">
                  <c:v>6.029458749480561E-2</c:v>
                </c:pt>
              </c:numCache>
            </c:numRef>
          </c:val>
          <c:smooth val="0"/>
          <c:extLst>
            <c:ext xmlns:c16="http://schemas.microsoft.com/office/drawing/2014/chart" uri="{C3380CC4-5D6E-409C-BE32-E72D297353CC}">
              <c16:uniqueId val="{00000003-542C-489B-8349-5308BB6A879E}"/>
            </c:ext>
          </c:extLst>
        </c:ser>
        <c:ser>
          <c:idx val="5"/>
          <c:order val="4"/>
          <c:tx>
            <c:strRef>
              <c:f>Rentabilita!$J$22</c:f>
              <c:strCache>
                <c:ptCount val="1"/>
                <c:pt idx="0">
                  <c:v>Střední ROE</c:v>
                </c:pt>
              </c:strCache>
            </c:strRef>
          </c:tx>
          <c:spPr>
            <a:ln w="28575" cap="rnd">
              <a:solidFill>
                <a:schemeClr val="accent2"/>
              </a:solidFill>
              <a:prstDash val="sysDash"/>
              <a:round/>
            </a:ln>
            <a:effectLst/>
          </c:spPr>
          <c:marker>
            <c:symbol val="circle"/>
            <c:size val="5"/>
            <c:spPr>
              <a:solidFill>
                <a:schemeClr val="accent2"/>
              </a:solidFill>
              <a:ln w="9525">
                <a:solidFill>
                  <a:schemeClr val="accent2"/>
                </a:solidFill>
              </a:ln>
              <a:effectLst/>
            </c:spPr>
          </c:marker>
          <c:cat>
            <c:numRef>
              <c:f>Rentabilita!$B$10:$F$10</c:f>
              <c:numCache>
                <c:formatCode>General</c:formatCode>
                <c:ptCount val="5"/>
                <c:pt idx="0">
                  <c:v>2017</c:v>
                </c:pt>
                <c:pt idx="1">
                  <c:v>2018</c:v>
                </c:pt>
                <c:pt idx="2">
                  <c:v>2019</c:v>
                </c:pt>
                <c:pt idx="3">
                  <c:v>2020</c:v>
                </c:pt>
                <c:pt idx="4">
                  <c:v>2021</c:v>
                </c:pt>
              </c:numCache>
            </c:numRef>
          </c:cat>
          <c:val>
            <c:numRef>
              <c:f>Rentabilita!$I$13:$M$13</c:f>
              <c:numCache>
                <c:formatCode>0.00%</c:formatCode>
                <c:ptCount val="5"/>
                <c:pt idx="0">
                  <c:v>0.10639850686607111</c:v>
                </c:pt>
                <c:pt idx="1">
                  <c:v>0.13347262263802731</c:v>
                </c:pt>
                <c:pt idx="2">
                  <c:v>0.11463093152967378</c:v>
                </c:pt>
                <c:pt idx="3">
                  <c:v>0.10865523369454766</c:v>
                </c:pt>
                <c:pt idx="4">
                  <c:v>9.1353451986837225E-2</c:v>
                </c:pt>
              </c:numCache>
            </c:numRef>
          </c:val>
          <c:smooth val="0"/>
          <c:extLst>
            <c:ext xmlns:c16="http://schemas.microsoft.com/office/drawing/2014/chart" uri="{C3380CC4-5D6E-409C-BE32-E72D297353CC}">
              <c16:uniqueId val="{00000004-542C-489B-8349-5308BB6A879E}"/>
            </c:ext>
          </c:extLst>
        </c:ser>
        <c:ser>
          <c:idx val="6"/>
          <c:order val="5"/>
          <c:tx>
            <c:strRef>
              <c:f>Rentabilita!$K$22</c:f>
              <c:strCache>
                <c:ptCount val="1"/>
                <c:pt idx="0">
                  <c:v>Střední ROS</c:v>
                </c:pt>
              </c:strCache>
            </c:strRef>
          </c:tx>
          <c:spPr>
            <a:ln w="28575" cap="rnd">
              <a:solidFill>
                <a:schemeClr val="accent4"/>
              </a:solidFill>
              <a:prstDash val="sysDash"/>
              <a:round/>
              <a:extLst>
                <a:ext uri="{C807C97D-BFC1-408E-A445-0C87EB9F89A2}">
                  <ask:lineSketchStyleProps xmlns:ask="http://schemas.microsoft.com/office/drawing/2018/sketchyshapes">
                    <ask:type>
                      <ask:lineSketchNone/>
                    </ask:type>
                  </ask:lineSketchStyleProps>
                </a:ext>
              </a:extLst>
            </a:ln>
            <a:effectLst/>
          </c:spPr>
          <c:marker>
            <c:symbol val="circle"/>
            <c:size val="5"/>
            <c:spPr>
              <a:solidFill>
                <a:schemeClr val="bg2">
                  <a:lumMod val="90000"/>
                </a:schemeClr>
              </a:solidFill>
              <a:ln w="9525">
                <a:solidFill>
                  <a:schemeClr val="accent4"/>
                </a:solidFill>
              </a:ln>
              <a:effectLst/>
            </c:spPr>
          </c:marker>
          <c:cat>
            <c:numRef>
              <c:f>Rentabilita!$B$10:$F$10</c:f>
              <c:numCache>
                <c:formatCode>General</c:formatCode>
                <c:ptCount val="5"/>
                <c:pt idx="0">
                  <c:v>2017</c:v>
                </c:pt>
                <c:pt idx="1">
                  <c:v>2018</c:v>
                </c:pt>
                <c:pt idx="2">
                  <c:v>2019</c:v>
                </c:pt>
                <c:pt idx="3">
                  <c:v>2020</c:v>
                </c:pt>
                <c:pt idx="4">
                  <c:v>2021</c:v>
                </c:pt>
              </c:numCache>
            </c:numRef>
          </c:cat>
          <c:val>
            <c:numRef>
              <c:f>Rentabilita!$I$14:$M$14</c:f>
              <c:numCache>
                <c:formatCode>0.00%</c:formatCode>
                <c:ptCount val="5"/>
                <c:pt idx="0">
                  <c:v>3.5022123247500779E-2</c:v>
                </c:pt>
                <c:pt idx="1">
                  <c:v>3.9350976657328562E-2</c:v>
                </c:pt>
                <c:pt idx="2">
                  <c:v>3.9996048631858162E-2</c:v>
                </c:pt>
                <c:pt idx="3">
                  <c:v>4.2232073790198783E-2</c:v>
                </c:pt>
                <c:pt idx="4">
                  <c:v>3.2412292318301852E-2</c:v>
                </c:pt>
              </c:numCache>
            </c:numRef>
          </c:val>
          <c:smooth val="0"/>
          <c:extLst>
            <c:ext xmlns:c16="http://schemas.microsoft.com/office/drawing/2014/chart" uri="{C3380CC4-5D6E-409C-BE32-E72D297353CC}">
              <c16:uniqueId val="{00000005-542C-489B-8349-5308BB6A879E}"/>
            </c:ext>
          </c:extLst>
        </c:ser>
        <c:dLbls>
          <c:showLegendKey val="0"/>
          <c:showVal val="0"/>
          <c:showCatName val="0"/>
          <c:showSerName val="0"/>
          <c:showPercent val="0"/>
          <c:showBubbleSize val="0"/>
        </c:dLbls>
        <c:marker val="1"/>
        <c:smooth val="0"/>
        <c:axId val="844830104"/>
        <c:axId val="844830432"/>
      </c:lineChart>
      <c:catAx>
        <c:axId val="8448301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cs-CZ"/>
          </a:p>
        </c:txPr>
        <c:crossAx val="844830432"/>
        <c:crosses val="autoZero"/>
        <c:auto val="1"/>
        <c:lblAlgn val="ctr"/>
        <c:lblOffset val="100"/>
        <c:noMultiLvlLbl val="0"/>
      </c:catAx>
      <c:valAx>
        <c:axId val="84483043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cs-CZ"/>
          </a:p>
        </c:txPr>
        <c:crossAx val="844830104"/>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cs-CZ"/>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cs-CZ"/>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cap="all" spc="120" normalizeH="0" baseline="0">
                <a:solidFill>
                  <a:schemeClr val="tx1">
                    <a:lumMod val="65000"/>
                    <a:lumOff val="35000"/>
                  </a:schemeClr>
                </a:solidFill>
                <a:latin typeface="+mn-lt"/>
                <a:ea typeface="+mn-ea"/>
                <a:cs typeface="+mn-cs"/>
              </a:defRPr>
            </a:pPr>
            <a:r>
              <a:rPr lang="cs-CZ" sz="1200">
                <a:solidFill>
                  <a:schemeClr val="tx1">
                    <a:lumMod val="65000"/>
                    <a:lumOff val="35000"/>
                  </a:schemeClr>
                </a:solidFill>
              </a:rPr>
              <a:t>Struktura cizích zdrojů </a:t>
            </a:r>
            <a:endParaRPr lang="ru-RU" sz="1200">
              <a:solidFill>
                <a:schemeClr val="tx1">
                  <a:lumMod val="65000"/>
                  <a:lumOff val="35000"/>
                </a:schemeClr>
              </a:solidFill>
            </a:endParaRPr>
          </a:p>
        </c:rich>
      </c:tx>
      <c:overlay val="0"/>
      <c:spPr>
        <a:noFill/>
        <a:ln>
          <a:noFill/>
        </a:ln>
        <a:effectLst/>
      </c:spPr>
      <c:txPr>
        <a:bodyPr rot="0" spcFirstLastPara="1" vertOverflow="ellipsis" vert="horz" wrap="square" anchor="ctr" anchorCtr="1"/>
        <a:lstStyle/>
        <a:p>
          <a:pPr>
            <a:defRPr sz="1200" b="1" i="0" u="none" strike="noStrike" kern="1200" cap="all" spc="120" normalizeH="0" baseline="0">
              <a:solidFill>
                <a:schemeClr val="tx1">
                  <a:lumMod val="65000"/>
                  <a:lumOff val="35000"/>
                </a:schemeClr>
              </a:solidFill>
              <a:latin typeface="+mn-lt"/>
              <a:ea typeface="+mn-ea"/>
              <a:cs typeface="+mn-cs"/>
            </a:defRPr>
          </a:pPr>
          <a:endParaRPr lang="cs-CZ"/>
        </a:p>
      </c:txPr>
    </c:title>
    <c:autoTitleDeleted val="0"/>
    <c:plotArea>
      <c:layout/>
      <c:barChart>
        <c:barDir val="col"/>
        <c:grouping val="clustered"/>
        <c:varyColors val="0"/>
        <c:ser>
          <c:idx val="1"/>
          <c:order val="1"/>
          <c:tx>
            <c:strRef>
              <c:f>Zadluženost!$A$7</c:f>
              <c:strCache>
                <c:ptCount val="1"/>
                <c:pt idx="0">
                  <c:v>Dlouhodobá zadluženost</c:v>
                </c:pt>
              </c:strCache>
            </c:strRef>
          </c:tx>
          <c:spPr>
            <a:solidFill>
              <a:schemeClr val="accent2">
                <a:lumMod val="50000"/>
              </a:schemeClr>
            </a:solidFill>
            <a:ln>
              <a:noFill/>
            </a:ln>
            <a:effectLst/>
          </c:spPr>
          <c:invertIfNegative val="0"/>
          <c:cat>
            <c:numRef>
              <c:f>Zadluženost!$B$5:$F$5</c:f>
              <c:numCache>
                <c:formatCode>General</c:formatCode>
                <c:ptCount val="5"/>
                <c:pt idx="0">
                  <c:v>2017</c:v>
                </c:pt>
                <c:pt idx="1">
                  <c:v>2018</c:v>
                </c:pt>
                <c:pt idx="2">
                  <c:v>2019</c:v>
                </c:pt>
                <c:pt idx="3">
                  <c:v>2020</c:v>
                </c:pt>
                <c:pt idx="4">
                  <c:v>2021</c:v>
                </c:pt>
              </c:numCache>
            </c:numRef>
          </c:cat>
          <c:val>
            <c:numRef>
              <c:f>Zadluženost!$B$7:$F$7</c:f>
              <c:numCache>
                <c:formatCode>0.00%</c:formatCode>
                <c:ptCount val="5"/>
                <c:pt idx="0">
                  <c:v>1.9327906191396568E-2</c:v>
                </c:pt>
                <c:pt idx="1">
                  <c:v>2.2057768393431869E-2</c:v>
                </c:pt>
                <c:pt idx="2">
                  <c:v>2.2083710769774126E-2</c:v>
                </c:pt>
                <c:pt idx="3">
                  <c:v>2.7487419181269904E-2</c:v>
                </c:pt>
                <c:pt idx="4">
                  <c:v>2.5591341036232659E-2</c:v>
                </c:pt>
              </c:numCache>
            </c:numRef>
          </c:val>
          <c:extLst>
            <c:ext xmlns:c16="http://schemas.microsoft.com/office/drawing/2014/chart" uri="{C3380CC4-5D6E-409C-BE32-E72D297353CC}">
              <c16:uniqueId val="{00000000-BDBF-47C6-8F90-84253E0152BB}"/>
            </c:ext>
          </c:extLst>
        </c:ser>
        <c:ser>
          <c:idx val="2"/>
          <c:order val="2"/>
          <c:tx>
            <c:strRef>
              <c:f>Zadluženost!$A$8</c:f>
              <c:strCache>
                <c:ptCount val="1"/>
                <c:pt idx="0">
                  <c:v>Krátkodobá zadluženost</c:v>
                </c:pt>
              </c:strCache>
            </c:strRef>
          </c:tx>
          <c:spPr>
            <a:solidFill>
              <a:schemeClr val="tx2">
                <a:lumMod val="40000"/>
                <a:lumOff val="60000"/>
              </a:schemeClr>
            </a:solidFill>
            <a:ln>
              <a:noFill/>
            </a:ln>
            <a:effectLst/>
          </c:spPr>
          <c:invertIfNegative val="0"/>
          <c:cat>
            <c:numRef>
              <c:f>Zadluženost!$B$5:$F$5</c:f>
              <c:numCache>
                <c:formatCode>General</c:formatCode>
                <c:ptCount val="5"/>
                <c:pt idx="0">
                  <c:v>2017</c:v>
                </c:pt>
                <c:pt idx="1">
                  <c:v>2018</c:v>
                </c:pt>
                <c:pt idx="2">
                  <c:v>2019</c:v>
                </c:pt>
                <c:pt idx="3">
                  <c:v>2020</c:v>
                </c:pt>
                <c:pt idx="4">
                  <c:v>2021</c:v>
                </c:pt>
              </c:numCache>
            </c:numRef>
          </c:cat>
          <c:val>
            <c:numRef>
              <c:f>Zadluženost!$B$8:$F$8</c:f>
              <c:numCache>
                <c:formatCode>0.00%</c:formatCode>
                <c:ptCount val="5"/>
                <c:pt idx="0">
                  <c:v>0.58140353650387633</c:v>
                </c:pt>
                <c:pt idx="1">
                  <c:v>0.56577469825455717</c:v>
                </c:pt>
                <c:pt idx="2">
                  <c:v>0.54653995702947433</c:v>
                </c:pt>
                <c:pt idx="3">
                  <c:v>0.4255880931960585</c:v>
                </c:pt>
                <c:pt idx="4">
                  <c:v>0.4388187659517554</c:v>
                </c:pt>
              </c:numCache>
            </c:numRef>
          </c:val>
          <c:extLst>
            <c:ext xmlns:c16="http://schemas.microsoft.com/office/drawing/2014/chart" uri="{C3380CC4-5D6E-409C-BE32-E72D297353CC}">
              <c16:uniqueId val="{00000001-BDBF-47C6-8F90-84253E0152BB}"/>
            </c:ext>
          </c:extLst>
        </c:ser>
        <c:ser>
          <c:idx val="3"/>
          <c:order val="3"/>
          <c:tx>
            <c:strRef>
              <c:f>Zadluženost!$A$9</c:f>
              <c:strCache>
                <c:ptCount val="1"/>
                <c:pt idx="0">
                  <c:v>Rezervy</c:v>
                </c:pt>
              </c:strCache>
            </c:strRef>
          </c:tx>
          <c:spPr>
            <a:solidFill>
              <a:schemeClr val="accent4"/>
            </a:solidFill>
            <a:ln>
              <a:noFill/>
            </a:ln>
            <a:effectLst/>
          </c:spPr>
          <c:invertIfNegative val="0"/>
          <c:cat>
            <c:numRef>
              <c:f>Zadluženost!$B$5:$F$5</c:f>
              <c:numCache>
                <c:formatCode>General</c:formatCode>
                <c:ptCount val="5"/>
                <c:pt idx="0">
                  <c:v>2017</c:v>
                </c:pt>
                <c:pt idx="1">
                  <c:v>2018</c:v>
                </c:pt>
                <c:pt idx="2">
                  <c:v>2019</c:v>
                </c:pt>
                <c:pt idx="3">
                  <c:v>2020</c:v>
                </c:pt>
                <c:pt idx="4">
                  <c:v>2021</c:v>
                </c:pt>
              </c:numCache>
            </c:numRef>
          </c:cat>
          <c:val>
            <c:numRef>
              <c:f>Zadluženost!$B$9:$F$9</c:f>
              <c:numCache>
                <c:formatCode>0.00%</c:formatCode>
                <c:ptCount val="5"/>
                <c:pt idx="0">
                  <c:v>1.4092366794321859E-2</c:v>
                </c:pt>
                <c:pt idx="1">
                  <c:v>8.4903275182277253E-3</c:v>
                </c:pt>
                <c:pt idx="2">
                  <c:v>1.4843471521398602E-2</c:v>
                </c:pt>
                <c:pt idx="3">
                  <c:v>1.1787456258949516E-2</c:v>
                </c:pt>
                <c:pt idx="4">
                  <c:v>9.8255628226966187E-3</c:v>
                </c:pt>
              </c:numCache>
            </c:numRef>
          </c:val>
          <c:extLst>
            <c:ext xmlns:c16="http://schemas.microsoft.com/office/drawing/2014/chart" uri="{C3380CC4-5D6E-409C-BE32-E72D297353CC}">
              <c16:uniqueId val="{00000002-BDBF-47C6-8F90-84253E0152BB}"/>
            </c:ext>
          </c:extLst>
        </c:ser>
        <c:dLbls>
          <c:showLegendKey val="0"/>
          <c:showVal val="0"/>
          <c:showCatName val="0"/>
          <c:showSerName val="0"/>
          <c:showPercent val="0"/>
          <c:showBubbleSize val="0"/>
        </c:dLbls>
        <c:gapWidth val="150"/>
        <c:axId val="970188032"/>
        <c:axId val="970184752"/>
      </c:barChart>
      <c:lineChart>
        <c:grouping val="standard"/>
        <c:varyColors val="0"/>
        <c:ser>
          <c:idx val="0"/>
          <c:order val="0"/>
          <c:tx>
            <c:strRef>
              <c:f>Zadluženost!$A$6</c:f>
              <c:strCache>
                <c:ptCount val="1"/>
                <c:pt idx="0">
                  <c:v>Celková zadluženost</c:v>
                </c:pt>
              </c:strCache>
            </c:strRef>
          </c:tx>
          <c:spPr>
            <a:ln w="22225" cap="rnd">
              <a:solidFill>
                <a:schemeClr val="accent1"/>
              </a:solidFill>
              <a:round/>
            </a:ln>
            <a:effectLst/>
          </c:spPr>
          <c:marker>
            <c:symbol val="none"/>
          </c:marker>
          <c:cat>
            <c:numRef>
              <c:f>Zadluženost!$B$5:$F$5</c:f>
              <c:numCache>
                <c:formatCode>General</c:formatCode>
                <c:ptCount val="5"/>
                <c:pt idx="0">
                  <c:v>2017</c:v>
                </c:pt>
                <c:pt idx="1">
                  <c:v>2018</c:v>
                </c:pt>
                <c:pt idx="2">
                  <c:v>2019</c:v>
                </c:pt>
                <c:pt idx="3">
                  <c:v>2020</c:v>
                </c:pt>
                <c:pt idx="4">
                  <c:v>2021</c:v>
                </c:pt>
              </c:numCache>
            </c:numRef>
          </c:cat>
          <c:val>
            <c:numRef>
              <c:f>Zadluženost!$B$6:$F$6</c:f>
              <c:numCache>
                <c:formatCode>0.00%</c:formatCode>
                <c:ptCount val="5"/>
                <c:pt idx="0">
                  <c:v>0.61482380948959481</c:v>
                </c:pt>
                <c:pt idx="1">
                  <c:v>0.59632279416621681</c:v>
                </c:pt>
                <c:pt idx="2">
                  <c:v>0.58346713932064709</c:v>
                </c:pt>
                <c:pt idx="3">
                  <c:v>0.46486296863627796</c:v>
                </c:pt>
                <c:pt idx="4">
                  <c:v>0.47423566981068466</c:v>
                </c:pt>
              </c:numCache>
            </c:numRef>
          </c:val>
          <c:smooth val="0"/>
          <c:extLst>
            <c:ext xmlns:c16="http://schemas.microsoft.com/office/drawing/2014/chart" uri="{C3380CC4-5D6E-409C-BE32-E72D297353CC}">
              <c16:uniqueId val="{00000003-BDBF-47C6-8F90-84253E0152BB}"/>
            </c:ext>
          </c:extLst>
        </c:ser>
        <c:dLbls>
          <c:showLegendKey val="0"/>
          <c:showVal val="0"/>
          <c:showCatName val="0"/>
          <c:showSerName val="0"/>
          <c:showPercent val="0"/>
          <c:showBubbleSize val="0"/>
        </c:dLbls>
        <c:marker val="1"/>
        <c:smooth val="0"/>
        <c:axId val="970188032"/>
        <c:axId val="970184752"/>
      </c:lineChart>
      <c:catAx>
        <c:axId val="97018803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cs-CZ"/>
          </a:p>
        </c:txPr>
        <c:crossAx val="970184752"/>
        <c:crosses val="autoZero"/>
        <c:auto val="1"/>
        <c:lblAlgn val="ctr"/>
        <c:lblOffset val="100"/>
        <c:noMultiLvlLbl val="0"/>
      </c:catAx>
      <c:valAx>
        <c:axId val="970184752"/>
        <c:scaling>
          <c:orientation val="minMax"/>
        </c:scaling>
        <c:delete val="0"/>
        <c:axPos val="l"/>
        <c:numFmt formatCode="0.00%"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cs-CZ"/>
          </a:p>
        </c:txPr>
        <c:crossAx val="970188032"/>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cs-CZ"/>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cs-CZ"/>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baseline="0">
                <a:solidFill>
                  <a:schemeClr val="tx1">
                    <a:lumMod val="65000"/>
                    <a:lumOff val="35000"/>
                  </a:schemeClr>
                </a:solidFill>
                <a:latin typeface="+mn-lt"/>
                <a:ea typeface="+mn-ea"/>
                <a:cs typeface="+mn-cs"/>
              </a:defRPr>
            </a:pPr>
            <a:r>
              <a:rPr lang="cs-CZ" sz="1400">
                <a:solidFill>
                  <a:schemeClr val="tx1">
                    <a:lumMod val="65000"/>
                    <a:lumOff val="35000"/>
                  </a:schemeClr>
                </a:solidFill>
              </a:rPr>
              <a:t>Celková zadluženost</a:t>
            </a:r>
            <a:endParaRPr lang="ru-RU" sz="1400">
              <a:solidFill>
                <a:schemeClr val="tx1">
                  <a:lumMod val="65000"/>
                  <a:lumOff val="35000"/>
                </a:schemeClr>
              </a:solidFill>
            </a:endParaRPr>
          </a:p>
        </c:rich>
      </c:tx>
      <c:layout>
        <c:manualLayout>
          <c:xMode val="edge"/>
          <c:yMode val="edge"/>
          <c:x val="0.36935532711474689"/>
          <c:y val="2.0915527006492608E-2"/>
        </c:manualLayout>
      </c:layout>
      <c:overlay val="0"/>
      <c:spPr>
        <a:noFill/>
        <a:ln>
          <a:noFill/>
        </a:ln>
        <a:effectLst/>
      </c:spPr>
      <c:txPr>
        <a:bodyPr rot="0" spcFirstLastPara="1" vertOverflow="ellipsis" vert="horz" wrap="square" anchor="ctr" anchorCtr="1"/>
        <a:lstStyle/>
        <a:p>
          <a:pPr>
            <a:defRPr sz="1400" b="1" i="0" u="none" strike="noStrike" kern="1200" baseline="0">
              <a:solidFill>
                <a:schemeClr val="tx1">
                  <a:lumMod val="65000"/>
                  <a:lumOff val="35000"/>
                </a:schemeClr>
              </a:solidFill>
              <a:latin typeface="+mn-lt"/>
              <a:ea typeface="+mn-ea"/>
              <a:cs typeface="+mn-cs"/>
            </a:defRPr>
          </a:pPr>
          <a:endParaRPr lang="cs-CZ"/>
        </a:p>
      </c:txPr>
    </c:title>
    <c:autoTitleDeleted val="0"/>
    <c:plotArea>
      <c:layout>
        <c:manualLayout>
          <c:layoutTarget val="inner"/>
          <c:xMode val="edge"/>
          <c:yMode val="edge"/>
          <c:x val="7.7168555540610001E-2"/>
          <c:y val="0.12650018655785314"/>
          <c:w val="0.69684833153812975"/>
          <c:h val="0.78597863259034983"/>
        </c:manualLayout>
      </c:layout>
      <c:lineChart>
        <c:grouping val="standard"/>
        <c:varyColors val="0"/>
        <c:ser>
          <c:idx val="0"/>
          <c:order val="0"/>
          <c:tx>
            <c:strRef>
              <c:f>Zadluženost!$A$4</c:f>
              <c:strCache>
                <c:ptCount val="1"/>
                <c:pt idx="0">
                  <c:v>Mlékárna Kunin s.r.o.</c:v>
                </c:pt>
              </c:strCache>
            </c:strRef>
          </c:tx>
          <c:spPr>
            <a:ln w="31750" cap="rnd">
              <a:solidFill>
                <a:schemeClr val="accent1"/>
              </a:solidFill>
              <a:round/>
            </a:ln>
            <a:effectLst/>
          </c:spPr>
          <c:marker>
            <c:symbol val="circle"/>
            <c:size val="6"/>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w="12700">
                <a:solidFill>
                  <a:schemeClr val="lt2"/>
                </a:solidFill>
                <a:round/>
              </a:ln>
              <a:effectLst/>
            </c:spPr>
          </c:marker>
          <c:cat>
            <c:numRef>
              <c:f>Zadluženost!$B$5:$F$5</c:f>
              <c:numCache>
                <c:formatCode>General</c:formatCode>
                <c:ptCount val="5"/>
                <c:pt idx="0">
                  <c:v>2017</c:v>
                </c:pt>
                <c:pt idx="1">
                  <c:v>2018</c:v>
                </c:pt>
                <c:pt idx="2">
                  <c:v>2019</c:v>
                </c:pt>
                <c:pt idx="3">
                  <c:v>2020</c:v>
                </c:pt>
                <c:pt idx="4">
                  <c:v>2021</c:v>
                </c:pt>
              </c:numCache>
            </c:numRef>
          </c:cat>
          <c:val>
            <c:numRef>
              <c:f>Zadluženost!$B$6:$F$6</c:f>
              <c:numCache>
                <c:formatCode>0.00%</c:formatCode>
                <c:ptCount val="5"/>
                <c:pt idx="0">
                  <c:v>0.61482380948959481</c:v>
                </c:pt>
                <c:pt idx="1">
                  <c:v>0.59632279416621681</c:v>
                </c:pt>
                <c:pt idx="2">
                  <c:v>0.58346713932064709</c:v>
                </c:pt>
                <c:pt idx="3">
                  <c:v>0.46486296863627796</c:v>
                </c:pt>
                <c:pt idx="4">
                  <c:v>0.47423566981068466</c:v>
                </c:pt>
              </c:numCache>
            </c:numRef>
          </c:val>
          <c:smooth val="0"/>
          <c:extLst>
            <c:ext xmlns:c16="http://schemas.microsoft.com/office/drawing/2014/chart" uri="{C3380CC4-5D6E-409C-BE32-E72D297353CC}">
              <c16:uniqueId val="{00000000-990E-4333-8988-C25E0F7B53C2}"/>
            </c:ext>
          </c:extLst>
        </c:ser>
        <c:ser>
          <c:idx val="1"/>
          <c:order val="1"/>
          <c:tx>
            <c:strRef>
              <c:f>Zadluženost!$A$15</c:f>
              <c:strCache>
                <c:ptCount val="1"/>
                <c:pt idx="0">
                  <c:v> Polabské mlékárny, a.s.</c:v>
                </c:pt>
              </c:strCache>
            </c:strRef>
          </c:tx>
          <c:spPr>
            <a:ln w="31750" cap="rnd">
              <a:solidFill>
                <a:schemeClr val="accent2"/>
              </a:solidFill>
              <a:round/>
            </a:ln>
            <a:effectLst/>
          </c:spPr>
          <c:marker>
            <c:symbol val="circle"/>
            <c:size val="6"/>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w="12700">
                <a:solidFill>
                  <a:schemeClr val="lt2"/>
                </a:solidFill>
                <a:round/>
              </a:ln>
              <a:effectLst/>
            </c:spPr>
          </c:marker>
          <c:cat>
            <c:numRef>
              <c:f>Zadluženost!$B$5:$F$5</c:f>
              <c:numCache>
                <c:formatCode>General</c:formatCode>
                <c:ptCount val="5"/>
                <c:pt idx="0">
                  <c:v>2017</c:v>
                </c:pt>
                <c:pt idx="1">
                  <c:v>2018</c:v>
                </c:pt>
                <c:pt idx="2">
                  <c:v>2019</c:v>
                </c:pt>
                <c:pt idx="3">
                  <c:v>2020</c:v>
                </c:pt>
                <c:pt idx="4">
                  <c:v>2021</c:v>
                </c:pt>
              </c:numCache>
            </c:numRef>
          </c:cat>
          <c:val>
            <c:numRef>
              <c:f>Zadluženost!$B$17:$F$17</c:f>
              <c:numCache>
                <c:formatCode>0.00%</c:formatCode>
                <c:ptCount val="5"/>
                <c:pt idx="0">
                  <c:v>0.28214028423603377</c:v>
                </c:pt>
                <c:pt idx="1">
                  <c:v>0.24795214009945735</c:v>
                </c:pt>
                <c:pt idx="2">
                  <c:v>0.37341712510187447</c:v>
                </c:pt>
                <c:pt idx="3">
                  <c:v>0.3707459697820194</c:v>
                </c:pt>
                <c:pt idx="4">
                  <c:v>0.43450270274339747</c:v>
                </c:pt>
              </c:numCache>
            </c:numRef>
          </c:val>
          <c:smooth val="0"/>
          <c:extLst>
            <c:ext xmlns:c16="http://schemas.microsoft.com/office/drawing/2014/chart" uri="{C3380CC4-5D6E-409C-BE32-E72D297353CC}">
              <c16:uniqueId val="{00000001-990E-4333-8988-C25E0F7B53C2}"/>
            </c:ext>
          </c:extLst>
        </c:ser>
        <c:ser>
          <c:idx val="2"/>
          <c:order val="2"/>
          <c:tx>
            <c:strRef>
              <c:f>Zadluženost!$A$22</c:f>
              <c:strCache>
                <c:ptCount val="1"/>
                <c:pt idx="0">
                  <c:v> Madeta a. s.</c:v>
                </c:pt>
              </c:strCache>
            </c:strRef>
          </c:tx>
          <c:spPr>
            <a:ln w="31750" cap="rnd">
              <a:solidFill>
                <a:schemeClr val="accent3"/>
              </a:solidFill>
              <a:round/>
            </a:ln>
            <a:effectLst/>
          </c:spPr>
          <c:marker>
            <c:symbol val="circle"/>
            <c:size val="6"/>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w="12700">
                <a:solidFill>
                  <a:schemeClr val="lt2"/>
                </a:solidFill>
                <a:round/>
              </a:ln>
              <a:effectLst/>
            </c:spPr>
          </c:marker>
          <c:cat>
            <c:numRef>
              <c:f>Zadluženost!$B$5:$F$5</c:f>
              <c:numCache>
                <c:formatCode>General</c:formatCode>
                <c:ptCount val="5"/>
                <c:pt idx="0">
                  <c:v>2017</c:v>
                </c:pt>
                <c:pt idx="1">
                  <c:v>2018</c:v>
                </c:pt>
                <c:pt idx="2">
                  <c:v>2019</c:v>
                </c:pt>
                <c:pt idx="3">
                  <c:v>2020</c:v>
                </c:pt>
                <c:pt idx="4">
                  <c:v>2021</c:v>
                </c:pt>
              </c:numCache>
            </c:numRef>
          </c:cat>
          <c:val>
            <c:numRef>
              <c:f>Zadluženost!$B$24:$F$24</c:f>
              <c:numCache>
                <c:formatCode>0.00%</c:formatCode>
                <c:ptCount val="5"/>
                <c:pt idx="0">
                  <c:v>0.29903800398965941</c:v>
                </c:pt>
                <c:pt idx="1">
                  <c:v>0.29516445281075182</c:v>
                </c:pt>
                <c:pt idx="2">
                  <c:v>0.26330498021076099</c:v>
                </c:pt>
                <c:pt idx="3">
                  <c:v>0.24742710156269127</c:v>
                </c:pt>
                <c:pt idx="4">
                  <c:v>0.25907841461634146</c:v>
                </c:pt>
              </c:numCache>
            </c:numRef>
          </c:val>
          <c:smooth val="0"/>
          <c:extLst>
            <c:ext xmlns:c16="http://schemas.microsoft.com/office/drawing/2014/chart" uri="{C3380CC4-5D6E-409C-BE32-E72D297353CC}">
              <c16:uniqueId val="{00000002-990E-4333-8988-C25E0F7B53C2}"/>
            </c:ext>
          </c:extLst>
        </c:ser>
        <c:ser>
          <c:idx val="3"/>
          <c:order val="3"/>
          <c:tx>
            <c:strRef>
              <c:f>Zadluženost!$A$29</c:f>
              <c:strCache>
                <c:ptCount val="1"/>
                <c:pt idx="0">
                  <c:v> OLMA, a.s</c:v>
                </c:pt>
              </c:strCache>
            </c:strRef>
          </c:tx>
          <c:spPr>
            <a:ln w="31750" cap="rnd">
              <a:solidFill>
                <a:schemeClr val="accent4"/>
              </a:solidFill>
              <a:round/>
            </a:ln>
            <a:effectLst/>
          </c:spPr>
          <c:marker>
            <c:symbol val="circle"/>
            <c:size val="6"/>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w="12700">
                <a:solidFill>
                  <a:schemeClr val="lt2"/>
                </a:solidFill>
                <a:round/>
              </a:ln>
              <a:effectLst/>
            </c:spPr>
          </c:marker>
          <c:cat>
            <c:numRef>
              <c:f>Zadluženost!$B$5:$F$5</c:f>
              <c:numCache>
                <c:formatCode>General</c:formatCode>
                <c:ptCount val="5"/>
                <c:pt idx="0">
                  <c:v>2017</c:v>
                </c:pt>
                <c:pt idx="1">
                  <c:v>2018</c:v>
                </c:pt>
                <c:pt idx="2">
                  <c:v>2019</c:v>
                </c:pt>
                <c:pt idx="3">
                  <c:v>2020</c:v>
                </c:pt>
                <c:pt idx="4">
                  <c:v>2021</c:v>
                </c:pt>
              </c:numCache>
            </c:numRef>
          </c:cat>
          <c:val>
            <c:numRef>
              <c:f>Zadluženost!$B$31:$F$31</c:f>
              <c:numCache>
                <c:formatCode>0.00%</c:formatCode>
                <c:ptCount val="5"/>
                <c:pt idx="0">
                  <c:v>0.34444536584017471</c:v>
                </c:pt>
                <c:pt idx="1">
                  <c:v>0.32594883249493206</c:v>
                </c:pt>
                <c:pt idx="2">
                  <c:v>0.28701918034708468</c:v>
                </c:pt>
                <c:pt idx="3">
                  <c:v>0.26149924983482858</c:v>
                </c:pt>
                <c:pt idx="4">
                  <c:v>0.26980703113786708</c:v>
                </c:pt>
              </c:numCache>
            </c:numRef>
          </c:val>
          <c:smooth val="0"/>
          <c:extLst>
            <c:ext xmlns:c16="http://schemas.microsoft.com/office/drawing/2014/chart" uri="{C3380CC4-5D6E-409C-BE32-E72D297353CC}">
              <c16:uniqueId val="{00000003-990E-4333-8988-C25E0F7B53C2}"/>
            </c:ext>
          </c:extLst>
        </c:ser>
        <c:ser>
          <c:idx val="4"/>
          <c:order val="4"/>
          <c:tx>
            <c:strRef>
              <c:f>Zadluženost!$A$36</c:f>
              <c:strCache>
                <c:ptCount val="1"/>
                <c:pt idx="0">
                  <c:v> Mlékárna Hlinsko, a.s</c:v>
                </c:pt>
              </c:strCache>
            </c:strRef>
          </c:tx>
          <c:spPr>
            <a:ln w="31750" cap="rnd">
              <a:solidFill>
                <a:schemeClr val="accent5"/>
              </a:solidFill>
              <a:round/>
            </a:ln>
            <a:effectLst/>
          </c:spPr>
          <c:marker>
            <c:symbol val="circle"/>
            <c:size val="6"/>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w="12700">
                <a:solidFill>
                  <a:schemeClr val="lt2"/>
                </a:solidFill>
                <a:round/>
              </a:ln>
              <a:effectLst/>
            </c:spPr>
          </c:marker>
          <c:cat>
            <c:numRef>
              <c:f>Zadluženost!$B$5:$F$5</c:f>
              <c:numCache>
                <c:formatCode>General</c:formatCode>
                <c:ptCount val="5"/>
                <c:pt idx="0">
                  <c:v>2017</c:v>
                </c:pt>
                <c:pt idx="1">
                  <c:v>2018</c:v>
                </c:pt>
                <c:pt idx="2">
                  <c:v>2019</c:v>
                </c:pt>
                <c:pt idx="3">
                  <c:v>2020</c:v>
                </c:pt>
                <c:pt idx="4">
                  <c:v>2021</c:v>
                </c:pt>
              </c:numCache>
            </c:numRef>
          </c:cat>
          <c:val>
            <c:numRef>
              <c:f>Zadluženost!$B$38:$F$38</c:f>
              <c:numCache>
                <c:formatCode>0.00%</c:formatCode>
                <c:ptCount val="5"/>
                <c:pt idx="0">
                  <c:v>0.37409772014826653</c:v>
                </c:pt>
                <c:pt idx="1">
                  <c:v>0.33813838402015478</c:v>
                </c:pt>
                <c:pt idx="2">
                  <c:v>0.36828097811009264</c:v>
                </c:pt>
                <c:pt idx="3">
                  <c:v>0.36931146626883204</c:v>
                </c:pt>
                <c:pt idx="4">
                  <c:v>0.36583614780896978</c:v>
                </c:pt>
              </c:numCache>
            </c:numRef>
          </c:val>
          <c:smooth val="0"/>
          <c:extLst>
            <c:ext xmlns:c16="http://schemas.microsoft.com/office/drawing/2014/chart" uri="{C3380CC4-5D6E-409C-BE32-E72D297353CC}">
              <c16:uniqueId val="{00000004-990E-4333-8988-C25E0F7B53C2}"/>
            </c:ext>
          </c:extLst>
        </c:ser>
        <c:ser>
          <c:idx val="5"/>
          <c:order val="5"/>
          <c:tx>
            <c:strRef>
              <c:f>Zadluženost!$A$43</c:f>
              <c:strCache>
                <c:ptCount val="1"/>
                <c:pt idx="0">
                  <c:v> Moravia Lacto a.s.</c:v>
                </c:pt>
              </c:strCache>
            </c:strRef>
          </c:tx>
          <c:spPr>
            <a:ln w="31750" cap="rnd">
              <a:solidFill>
                <a:schemeClr val="accent6"/>
              </a:solidFill>
              <a:round/>
            </a:ln>
            <a:effectLst/>
          </c:spPr>
          <c:marker>
            <c:symbol val="circle"/>
            <c:size val="6"/>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w="12700">
                <a:solidFill>
                  <a:schemeClr val="lt2"/>
                </a:solidFill>
                <a:round/>
              </a:ln>
              <a:effectLst/>
            </c:spPr>
          </c:marker>
          <c:cat>
            <c:numRef>
              <c:f>Zadluženost!$B$5:$F$5</c:f>
              <c:numCache>
                <c:formatCode>General</c:formatCode>
                <c:ptCount val="5"/>
                <c:pt idx="0">
                  <c:v>2017</c:v>
                </c:pt>
                <c:pt idx="1">
                  <c:v>2018</c:v>
                </c:pt>
                <c:pt idx="2">
                  <c:v>2019</c:v>
                </c:pt>
                <c:pt idx="3">
                  <c:v>2020</c:v>
                </c:pt>
                <c:pt idx="4">
                  <c:v>2021</c:v>
                </c:pt>
              </c:numCache>
            </c:numRef>
          </c:cat>
          <c:val>
            <c:numRef>
              <c:f>Zadluženost!$B$45:$F$45</c:f>
              <c:numCache>
                <c:formatCode>0.00%</c:formatCode>
                <c:ptCount val="5"/>
                <c:pt idx="0">
                  <c:v>0.62662346452137807</c:v>
                </c:pt>
                <c:pt idx="1">
                  <c:v>0.67988709689368287</c:v>
                </c:pt>
                <c:pt idx="2">
                  <c:v>0.63660335667769397</c:v>
                </c:pt>
                <c:pt idx="3">
                  <c:v>0.60637332857098314</c:v>
                </c:pt>
                <c:pt idx="4">
                  <c:v>0.58739530858420275</c:v>
                </c:pt>
              </c:numCache>
            </c:numRef>
          </c:val>
          <c:smooth val="0"/>
          <c:extLst>
            <c:ext xmlns:c16="http://schemas.microsoft.com/office/drawing/2014/chart" uri="{C3380CC4-5D6E-409C-BE32-E72D297353CC}">
              <c16:uniqueId val="{00000005-990E-4333-8988-C25E0F7B53C2}"/>
            </c:ext>
          </c:extLst>
        </c:ser>
        <c:dLbls>
          <c:showLegendKey val="0"/>
          <c:showVal val="0"/>
          <c:showCatName val="0"/>
          <c:showSerName val="0"/>
          <c:showPercent val="0"/>
          <c:showBubbleSize val="0"/>
        </c:dLbls>
        <c:marker val="1"/>
        <c:smooth val="0"/>
        <c:axId val="699974248"/>
        <c:axId val="699974608"/>
      </c:lineChart>
      <c:catAx>
        <c:axId val="699974248"/>
        <c:scaling>
          <c:orientation val="minMax"/>
        </c:scaling>
        <c:delete val="0"/>
        <c:axPos val="b"/>
        <c:numFmt formatCode="General" sourceLinked="1"/>
        <c:majorTickMark val="out"/>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cs-CZ"/>
          </a:p>
        </c:txPr>
        <c:crossAx val="699974608"/>
        <c:crosses val="autoZero"/>
        <c:auto val="1"/>
        <c:lblAlgn val="ctr"/>
        <c:lblOffset val="100"/>
        <c:noMultiLvlLbl val="0"/>
      </c:catAx>
      <c:valAx>
        <c:axId val="699974608"/>
        <c:scaling>
          <c:orientation val="minMax"/>
          <c:max val="1"/>
        </c:scaling>
        <c:delete val="0"/>
        <c:axPos val="l"/>
        <c:majorGridlines>
          <c:spPr>
            <a:ln w="9525" cap="flat" cmpd="sng" algn="ctr">
              <a:solidFill>
                <a:schemeClr val="tx2">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cs-CZ"/>
          </a:p>
        </c:txPr>
        <c:crossAx val="699974248"/>
        <c:crosses val="autoZero"/>
        <c:crossBetween val="between"/>
      </c:valAx>
      <c:spPr>
        <a:noFill/>
        <a:ln>
          <a:noFill/>
        </a:ln>
        <a:effectLst/>
      </c:spPr>
    </c:plotArea>
    <c:legend>
      <c:legendPos val="r"/>
      <c:layout>
        <c:manualLayout>
          <c:xMode val="edge"/>
          <c:yMode val="edge"/>
          <c:x val="0.75929255167930543"/>
          <c:y val="0.24790756934277688"/>
          <c:w val="0.23850035327966693"/>
          <c:h val="0.61824630473822351"/>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cs-CZ"/>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cs-CZ"/>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cs-CZ"/>
              <a:t>Porovnání</a:t>
            </a:r>
            <a:r>
              <a:rPr lang="cs-CZ" baseline="0"/>
              <a:t> ukazatelů likvidity s odvětvím</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cs-CZ"/>
        </a:p>
      </c:txPr>
    </c:title>
    <c:autoTitleDeleted val="0"/>
    <c:plotArea>
      <c:layout/>
      <c:barChart>
        <c:barDir val="col"/>
        <c:grouping val="clustered"/>
        <c:varyColors val="0"/>
        <c:ser>
          <c:idx val="3"/>
          <c:order val="3"/>
          <c:tx>
            <c:strRef>
              <c:f>Likvidita!$A$3</c:f>
              <c:strCache>
                <c:ptCount val="1"/>
                <c:pt idx="0">
                  <c:v>Bezna likvidita</c:v>
                </c:pt>
              </c:strCache>
            </c:strRef>
          </c:tx>
          <c:spPr>
            <a:solidFill>
              <a:srgbClr val="0070C0"/>
            </a:solidFill>
            <a:ln>
              <a:noFill/>
            </a:ln>
            <a:effectLst/>
          </c:spPr>
          <c:invertIfNegative val="0"/>
          <c:val>
            <c:numRef>
              <c:f>Likvidita!$B$3:$F$3</c:f>
              <c:numCache>
                <c:formatCode>0.0000</c:formatCode>
                <c:ptCount val="5"/>
                <c:pt idx="0">
                  <c:v>0.90306235942559099</c:v>
                </c:pt>
                <c:pt idx="1">
                  <c:v>0.84862606007049357</c:v>
                </c:pt>
                <c:pt idx="2">
                  <c:v>0.91912936469471318</c:v>
                </c:pt>
                <c:pt idx="3">
                  <c:v>0.93025916310995727</c:v>
                </c:pt>
                <c:pt idx="4">
                  <c:v>0.99945842600965762</c:v>
                </c:pt>
              </c:numCache>
            </c:numRef>
          </c:val>
          <c:extLst>
            <c:ext xmlns:c16="http://schemas.microsoft.com/office/drawing/2014/chart" uri="{C3380CC4-5D6E-409C-BE32-E72D297353CC}">
              <c16:uniqueId val="{00000000-88B3-4D0F-A6F1-89E53C9633B1}"/>
            </c:ext>
          </c:extLst>
        </c:ser>
        <c:ser>
          <c:idx val="4"/>
          <c:order val="4"/>
          <c:tx>
            <c:strRef>
              <c:f>Likvidita!$A$4</c:f>
              <c:strCache>
                <c:ptCount val="1"/>
                <c:pt idx="0">
                  <c:v>Pohotová likvidita</c:v>
                </c:pt>
              </c:strCache>
            </c:strRef>
          </c:tx>
          <c:spPr>
            <a:solidFill>
              <a:srgbClr val="CE5308"/>
            </a:solidFill>
            <a:ln>
              <a:noFill/>
            </a:ln>
            <a:effectLst/>
          </c:spPr>
          <c:invertIfNegative val="0"/>
          <c:val>
            <c:numRef>
              <c:f>Likvidita!$B$4:$F$4</c:f>
              <c:numCache>
                <c:formatCode>0.0000</c:formatCode>
                <c:ptCount val="5"/>
                <c:pt idx="0">
                  <c:v>0.59572653797671715</c:v>
                </c:pt>
                <c:pt idx="1">
                  <c:v>0.55386959698701443</c:v>
                </c:pt>
                <c:pt idx="2">
                  <c:v>0.60261557577969649</c:v>
                </c:pt>
                <c:pt idx="3">
                  <c:v>0.46088206391810033</c:v>
                </c:pt>
                <c:pt idx="4">
                  <c:v>0.51882788274797165</c:v>
                </c:pt>
              </c:numCache>
            </c:numRef>
          </c:val>
          <c:extLst>
            <c:ext xmlns:c16="http://schemas.microsoft.com/office/drawing/2014/chart" uri="{C3380CC4-5D6E-409C-BE32-E72D297353CC}">
              <c16:uniqueId val="{00000001-88B3-4D0F-A6F1-89E53C9633B1}"/>
            </c:ext>
          </c:extLst>
        </c:ser>
        <c:ser>
          <c:idx val="5"/>
          <c:order val="5"/>
          <c:tx>
            <c:strRef>
              <c:f>Likvidita!$A$5</c:f>
              <c:strCache>
                <c:ptCount val="1"/>
                <c:pt idx="0">
                  <c:v>Okamžitá likvidita</c:v>
                </c:pt>
              </c:strCache>
            </c:strRef>
          </c:tx>
          <c:spPr>
            <a:solidFill>
              <a:schemeClr val="bg1">
                <a:lumMod val="50000"/>
              </a:schemeClr>
            </a:solidFill>
            <a:ln>
              <a:noFill/>
            </a:ln>
            <a:effectLst/>
          </c:spPr>
          <c:invertIfNegative val="0"/>
          <c:val>
            <c:numRef>
              <c:f>Likvidita!$B$5:$F$5</c:f>
              <c:numCache>
                <c:formatCode>0.0000</c:formatCode>
                <c:ptCount val="5"/>
                <c:pt idx="0">
                  <c:v>2.6211720507180108E-2</c:v>
                </c:pt>
                <c:pt idx="1">
                  <c:v>1.8839211486705462E-2</c:v>
                </c:pt>
                <c:pt idx="2">
                  <c:v>3.1712410322688733E-4</c:v>
                </c:pt>
                <c:pt idx="3">
                  <c:v>6.7200539739810217E-2</c:v>
                </c:pt>
                <c:pt idx="4">
                  <c:v>3.4325159260630662E-4</c:v>
                </c:pt>
              </c:numCache>
            </c:numRef>
          </c:val>
          <c:extLst>
            <c:ext xmlns:c16="http://schemas.microsoft.com/office/drawing/2014/chart" uri="{C3380CC4-5D6E-409C-BE32-E72D297353CC}">
              <c16:uniqueId val="{00000002-88B3-4D0F-A6F1-89E53C9633B1}"/>
            </c:ext>
          </c:extLst>
        </c:ser>
        <c:dLbls>
          <c:showLegendKey val="0"/>
          <c:showVal val="0"/>
          <c:showCatName val="0"/>
          <c:showSerName val="0"/>
          <c:showPercent val="0"/>
          <c:showBubbleSize val="0"/>
        </c:dLbls>
        <c:gapWidth val="150"/>
        <c:axId val="1110993592"/>
        <c:axId val="1110997912"/>
      </c:barChart>
      <c:lineChart>
        <c:grouping val="standard"/>
        <c:varyColors val="0"/>
        <c:ser>
          <c:idx val="0"/>
          <c:order val="0"/>
          <c:tx>
            <c:strRef>
              <c:f>Likvidita!$H$8</c:f>
              <c:strCache>
                <c:ptCount val="1"/>
                <c:pt idx="0">
                  <c:v>BL Odvětví</c:v>
                </c:pt>
              </c:strCache>
            </c:strRef>
          </c:tx>
          <c:spPr>
            <a:ln w="28575" cap="rnd">
              <a:solidFill>
                <a:schemeClr val="accent1">
                  <a:lumMod val="75000"/>
                </a:schemeClr>
              </a:solidFill>
              <a:round/>
            </a:ln>
            <a:effectLst/>
          </c:spPr>
          <c:marker>
            <c:symbol val="none"/>
          </c:marker>
          <c:cat>
            <c:numRef>
              <c:f>Likvidita!$I$7:$M$7</c:f>
              <c:numCache>
                <c:formatCode>General</c:formatCode>
                <c:ptCount val="5"/>
                <c:pt idx="0">
                  <c:v>2017</c:v>
                </c:pt>
                <c:pt idx="1">
                  <c:v>2018</c:v>
                </c:pt>
                <c:pt idx="2">
                  <c:v>2019</c:v>
                </c:pt>
                <c:pt idx="3">
                  <c:v>2020</c:v>
                </c:pt>
                <c:pt idx="4">
                  <c:v>2021</c:v>
                </c:pt>
              </c:numCache>
            </c:numRef>
          </c:cat>
          <c:val>
            <c:numRef>
              <c:f>Likvidita!$I$8:$M$8</c:f>
              <c:numCache>
                <c:formatCode>0.00</c:formatCode>
                <c:ptCount val="5"/>
                <c:pt idx="0">
                  <c:v>1.4177490653957454</c:v>
                </c:pt>
                <c:pt idx="1">
                  <c:v>1.4574514888231134</c:v>
                </c:pt>
                <c:pt idx="2">
                  <c:v>1.736353687162421</c:v>
                </c:pt>
                <c:pt idx="3">
                  <c:v>1.8433202860830804</c:v>
                </c:pt>
                <c:pt idx="4">
                  <c:v>1.6555149208697961</c:v>
                </c:pt>
              </c:numCache>
            </c:numRef>
          </c:val>
          <c:smooth val="0"/>
          <c:extLst>
            <c:ext xmlns:c16="http://schemas.microsoft.com/office/drawing/2014/chart" uri="{C3380CC4-5D6E-409C-BE32-E72D297353CC}">
              <c16:uniqueId val="{00000003-88B3-4D0F-A6F1-89E53C9633B1}"/>
            </c:ext>
          </c:extLst>
        </c:ser>
        <c:ser>
          <c:idx val="1"/>
          <c:order val="1"/>
          <c:tx>
            <c:strRef>
              <c:f>Likvidita!$H$9</c:f>
              <c:strCache>
                <c:ptCount val="1"/>
                <c:pt idx="0">
                  <c:v>PL Odvětví</c:v>
                </c:pt>
              </c:strCache>
            </c:strRef>
          </c:tx>
          <c:spPr>
            <a:ln w="28575" cap="rnd">
              <a:solidFill>
                <a:schemeClr val="accent2"/>
              </a:solidFill>
              <a:round/>
            </a:ln>
            <a:effectLst/>
          </c:spPr>
          <c:marker>
            <c:symbol val="none"/>
          </c:marker>
          <c:cat>
            <c:numRef>
              <c:f>Likvidita!$I$7:$M$7</c:f>
              <c:numCache>
                <c:formatCode>General</c:formatCode>
                <c:ptCount val="5"/>
                <c:pt idx="0">
                  <c:v>2017</c:v>
                </c:pt>
                <c:pt idx="1">
                  <c:v>2018</c:v>
                </c:pt>
                <c:pt idx="2">
                  <c:v>2019</c:v>
                </c:pt>
                <c:pt idx="3">
                  <c:v>2020</c:v>
                </c:pt>
                <c:pt idx="4">
                  <c:v>2021</c:v>
                </c:pt>
              </c:numCache>
            </c:numRef>
          </c:cat>
          <c:val>
            <c:numRef>
              <c:f>Likvidita!$I$9:$M$9</c:f>
              <c:numCache>
                <c:formatCode>0.00</c:formatCode>
                <c:ptCount val="5"/>
                <c:pt idx="0">
                  <c:v>0.97275192344020722</c:v>
                </c:pt>
                <c:pt idx="1">
                  <c:v>1.023560676830884</c:v>
                </c:pt>
                <c:pt idx="2">
                  <c:v>1.2674354106212073</c:v>
                </c:pt>
                <c:pt idx="3">
                  <c:v>1.4100009785271885</c:v>
                </c:pt>
                <c:pt idx="4">
                  <c:v>1.2337274795889137</c:v>
                </c:pt>
              </c:numCache>
            </c:numRef>
          </c:val>
          <c:smooth val="0"/>
          <c:extLst>
            <c:ext xmlns:c16="http://schemas.microsoft.com/office/drawing/2014/chart" uri="{C3380CC4-5D6E-409C-BE32-E72D297353CC}">
              <c16:uniqueId val="{00000004-88B3-4D0F-A6F1-89E53C9633B1}"/>
            </c:ext>
          </c:extLst>
        </c:ser>
        <c:ser>
          <c:idx val="2"/>
          <c:order val="2"/>
          <c:tx>
            <c:strRef>
              <c:f>Likvidita!$H$10</c:f>
              <c:strCache>
                <c:ptCount val="1"/>
                <c:pt idx="0">
                  <c:v>OL Odvětví</c:v>
                </c:pt>
              </c:strCache>
            </c:strRef>
          </c:tx>
          <c:spPr>
            <a:ln w="28575" cap="rnd">
              <a:solidFill>
                <a:schemeClr val="accent3"/>
              </a:solidFill>
              <a:round/>
            </a:ln>
            <a:effectLst/>
          </c:spPr>
          <c:marker>
            <c:symbol val="none"/>
          </c:marker>
          <c:cat>
            <c:numRef>
              <c:f>Likvidita!$I$7:$M$7</c:f>
              <c:numCache>
                <c:formatCode>General</c:formatCode>
                <c:ptCount val="5"/>
                <c:pt idx="0">
                  <c:v>2017</c:v>
                </c:pt>
                <c:pt idx="1">
                  <c:v>2018</c:v>
                </c:pt>
                <c:pt idx="2">
                  <c:v>2019</c:v>
                </c:pt>
                <c:pt idx="3">
                  <c:v>2020</c:v>
                </c:pt>
                <c:pt idx="4">
                  <c:v>2021</c:v>
                </c:pt>
              </c:numCache>
            </c:numRef>
          </c:cat>
          <c:val>
            <c:numRef>
              <c:f>Likvidita!$I$10:$M$10</c:f>
              <c:numCache>
                <c:formatCode>0.00</c:formatCode>
                <c:ptCount val="5"/>
                <c:pt idx="0">
                  <c:v>0.20118354115677456</c:v>
                </c:pt>
                <c:pt idx="1">
                  <c:v>0.29263345606917879</c:v>
                </c:pt>
                <c:pt idx="2">
                  <c:v>0.42272362271591274</c:v>
                </c:pt>
                <c:pt idx="3">
                  <c:v>0.4697312826280412</c:v>
                </c:pt>
                <c:pt idx="4">
                  <c:v>0.35884794212376842</c:v>
                </c:pt>
              </c:numCache>
            </c:numRef>
          </c:val>
          <c:smooth val="0"/>
          <c:extLst>
            <c:ext xmlns:c16="http://schemas.microsoft.com/office/drawing/2014/chart" uri="{C3380CC4-5D6E-409C-BE32-E72D297353CC}">
              <c16:uniqueId val="{00000005-88B3-4D0F-A6F1-89E53C9633B1}"/>
            </c:ext>
          </c:extLst>
        </c:ser>
        <c:dLbls>
          <c:showLegendKey val="0"/>
          <c:showVal val="0"/>
          <c:showCatName val="0"/>
          <c:showSerName val="0"/>
          <c:showPercent val="0"/>
          <c:showBubbleSize val="0"/>
        </c:dLbls>
        <c:marker val="1"/>
        <c:smooth val="0"/>
        <c:axId val="1110993592"/>
        <c:axId val="1110997912"/>
      </c:lineChart>
      <c:catAx>
        <c:axId val="1110993592"/>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cs-CZ"/>
          </a:p>
        </c:txPr>
        <c:crossAx val="1110997912"/>
        <c:crosses val="autoZero"/>
        <c:auto val="1"/>
        <c:lblAlgn val="ctr"/>
        <c:lblOffset val="100"/>
        <c:noMultiLvlLbl val="0"/>
      </c:catAx>
      <c:valAx>
        <c:axId val="111099791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cs-CZ"/>
          </a:p>
        </c:txPr>
        <c:crossAx val="1110993592"/>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cs-CZ"/>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cs-CZ"/>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3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31">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4.xml><?xml version="1.0" encoding="utf-8"?>
<cs:chartStyle xmlns:cs="http://schemas.microsoft.com/office/drawing/2012/chartStyle" xmlns:a="http://schemas.openxmlformats.org/drawingml/2006/main" id="31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Moti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6BC997-2CA6-47B1-A563-CE73073ACA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2839</TotalTime>
  <Pages>12</Pages>
  <Words>3050</Words>
  <Characters>18000</Characters>
  <Application>Microsoft Office Word</Application>
  <DocSecurity>0</DocSecurity>
  <Lines>150</Lines>
  <Paragraphs>42</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21008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Vlasenko Elizaveta</dc:creator>
  <cp:keywords/>
  <dc:description/>
  <cp:lastModifiedBy>Vlasenko Elizaveta</cp:lastModifiedBy>
  <cp:revision>21</cp:revision>
  <dcterms:created xsi:type="dcterms:W3CDTF">2023-03-23T17:50:00Z</dcterms:created>
  <dcterms:modified xsi:type="dcterms:W3CDTF">2023-03-27T19:05:00Z</dcterms:modified>
</cp:coreProperties>
</file>