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D5E95" w:rsidRDefault="00461890">
      <w:pPr>
        <w:spacing w:after="120"/>
        <w:rPr>
          <w:b/>
          <w:sz w:val="24"/>
          <w:szCs w:val="24"/>
        </w:rPr>
      </w:pPr>
      <w:r>
        <w:rPr>
          <w:b/>
          <w:sz w:val="24"/>
          <w:szCs w:val="24"/>
        </w:rPr>
        <w:t>Posudek vedoucího bakalářské práce</w:t>
      </w:r>
    </w:p>
    <w:p w:rsidR="00FD5E95" w:rsidRDefault="00FD5E95">
      <w:pPr>
        <w:spacing w:after="120"/>
        <w:rPr>
          <w:sz w:val="20"/>
          <w:szCs w:val="20"/>
        </w:rPr>
      </w:pPr>
    </w:p>
    <w:p w:rsidR="00FD5E95" w:rsidRDefault="00461890">
      <w:pPr>
        <w:spacing w:after="120"/>
        <w:rPr>
          <w:sz w:val="20"/>
          <w:szCs w:val="20"/>
        </w:rPr>
      </w:pPr>
      <w:r>
        <w:rPr>
          <w:sz w:val="20"/>
          <w:szCs w:val="20"/>
        </w:rPr>
        <w:t>Název práce: Metafyzika v ekonomické teorii Adama Smithe</w:t>
      </w:r>
    </w:p>
    <w:p w:rsidR="00FD5E95" w:rsidRDefault="00461890">
      <w:pPr>
        <w:spacing w:after="120"/>
        <w:rPr>
          <w:sz w:val="20"/>
          <w:szCs w:val="20"/>
        </w:rPr>
      </w:pPr>
      <w:r>
        <w:rPr>
          <w:sz w:val="20"/>
          <w:szCs w:val="20"/>
        </w:rPr>
        <w:t>Autor práce: Mgr. Ing. Petr Obergruber, PhD.</w:t>
      </w:r>
    </w:p>
    <w:p w:rsidR="00FD5E95" w:rsidRDefault="00461890">
      <w:pPr>
        <w:spacing w:after="120"/>
        <w:rPr>
          <w:sz w:val="20"/>
          <w:szCs w:val="20"/>
        </w:rPr>
      </w:pPr>
      <w:r>
        <w:rPr>
          <w:sz w:val="20"/>
          <w:szCs w:val="20"/>
        </w:rPr>
        <w:t>Obor studia: Filosofie</w:t>
      </w:r>
    </w:p>
    <w:p w:rsidR="00FD5E95" w:rsidRDefault="00461890">
      <w:pPr>
        <w:spacing w:after="120"/>
        <w:rPr>
          <w:sz w:val="20"/>
          <w:szCs w:val="20"/>
        </w:rPr>
      </w:pPr>
      <w:r>
        <w:rPr>
          <w:sz w:val="20"/>
          <w:szCs w:val="20"/>
        </w:rPr>
        <w:t>Posudek vypracoval: Mgr. František Weis</w:t>
      </w:r>
    </w:p>
    <w:p w:rsidR="00FD5E95" w:rsidRDefault="00461890">
      <w:pPr>
        <w:spacing w:after="120"/>
        <w:rPr>
          <w:sz w:val="20"/>
          <w:szCs w:val="20"/>
        </w:rPr>
      </w:pPr>
      <w:r>
        <w:rPr>
          <w:sz w:val="20"/>
          <w:szCs w:val="20"/>
        </w:rPr>
        <w:t>Datum: 7. 5. 2023</w:t>
      </w:r>
    </w:p>
    <w:p w:rsidR="00FD5E95" w:rsidRDefault="00461890">
      <w:pPr>
        <w:ind w:firstLine="426"/>
        <w:jc w:val="both"/>
        <w:rPr>
          <w:sz w:val="20"/>
          <w:szCs w:val="20"/>
        </w:rPr>
      </w:pPr>
      <w:r>
        <w:rPr>
          <w:sz w:val="20"/>
          <w:szCs w:val="20"/>
        </w:rPr>
        <w:t>Autor se ve své práci věnuje filosofickému podhoubí ekonomické teorie Adama Smithe. Jde o vhodné téma bakalářské práce studijního programu Filosofie; vedle tématu je srozumitelná i obsahová struktura práce: autor nejprve v první části své práce představuje</w:t>
      </w:r>
      <w:r>
        <w:rPr>
          <w:sz w:val="20"/>
          <w:szCs w:val="20"/>
        </w:rPr>
        <w:t xml:space="preserve"> Smithovo pojetí člověka, společnosti a světa, </w:t>
      </w:r>
      <w:r>
        <w:rPr>
          <w:sz w:val="20"/>
          <w:szCs w:val="20"/>
        </w:rPr>
        <w:br/>
      </w:r>
      <w:r>
        <w:rPr>
          <w:sz w:val="20"/>
          <w:szCs w:val="20"/>
        </w:rPr>
        <w:t xml:space="preserve">a následně se v druhé části zaměřuje na Smithovo pojetí hodnoty v kontextu příroda-práce-kapitál-trh. </w:t>
      </w:r>
    </w:p>
    <w:p w:rsidR="00FD5E95" w:rsidRDefault="00461890">
      <w:pPr>
        <w:jc w:val="both"/>
        <w:rPr>
          <w:sz w:val="20"/>
          <w:szCs w:val="20"/>
        </w:rPr>
      </w:pPr>
      <w:r>
        <w:rPr>
          <w:sz w:val="20"/>
          <w:szCs w:val="20"/>
        </w:rPr>
        <w:t>Zatímco většina práce je koncipována jako hledání stop po filosofických motivech Smithovy ekonomické teori</w:t>
      </w:r>
      <w:r>
        <w:rPr>
          <w:sz w:val="20"/>
          <w:szCs w:val="20"/>
        </w:rPr>
        <w:t>e, přičemž je identifikuje zejména ve stoicismu a Humovi, závěr práce je autorovou úvahou o tom, jaké prvky stoické filosofie jsou vysledovatelné v ekonomii dnes.</w:t>
      </w:r>
    </w:p>
    <w:p w:rsidR="00FD5E95" w:rsidRDefault="00461890">
      <w:pPr>
        <w:jc w:val="both"/>
        <w:rPr>
          <w:sz w:val="20"/>
          <w:szCs w:val="20"/>
        </w:rPr>
      </w:pPr>
      <w:r>
        <w:rPr>
          <w:sz w:val="20"/>
          <w:szCs w:val="20"/>
        </w:rPr>
        <w:t>Předně je při hodnocení práce vhodné uvést, že ačkoliv téma práce je vhodným námětem spíše pr</w:t>
      </w:r>
      <w:r>
        <w:rPr>
          <w:sz w:val="20"/>
          <w:szCs w:val="20"/>
        </w:rPr>
        <w:t>o práci diplomovou či disertační, skutečnost, že je pojednáno v práci bakalářské, tématu nepůsobí újmu, kterou by bylo možno očekávat. Snad k tomu přispěla průběžná intenzivní komunikace mezi autorem a vedoucím práce. Nepochybně má však na autorově úspěchu</w:t>
      </w:r>
      <w:r>
        <w:rPr>
          <w:sz w:val="20"/>
          <w:szCs w:val="20"/>
        </w:rPr>
        <w:t xml:space="preserve"> zásadní podíl jeho odborná kompetence – nejen že je autor vysoce kvalifikován v oblasti ekonomie, ale zároveň je schopen pracovat s rozsáhlými cizojazyčnými texty, které se zvoleným tématem z různých aspektů kvalifikovaně </w:t>
      </w:r>
      <w:r>
        <w:rPr>
          <w:sz w:val="20"/>
          <w:szCs w:val="20"/>
        </w:rPr>
        <w:t>zabývají. A to na tak malém prostoru, který bak</w:t>
      </w:r>
      <w:r>
        <w:rPr>
          <w:sz w:val="20"/>
          <w:szCs w:val="20"/>
        </w:rPr>
        <w:t xml:space="preserve">alářské práce poskytuje.   </w:t>
      </w:r>
    </w:p>
    <w:p w:rsidR="00FD5E95" w:rsidRDefault="00461890">
      <w:pPr>
        <w:jc w:val="both"/>
        <w:rPr>
          <w:sz w:val="20"/>
          <w:szCs w:val="20"/>
        </w:rPr>
      </w:pPr>
      <w:r>
        <w:rPr>
          <w:sz w:val="20"/>
          <w:szCs w:val="20"/>
        </w:rPr>
        <w:t xml:space="preserve">Předložená bakalářská práce má podle mého posouzení následující </w:t>
      </w:r>
      <w:r>
        <w:rPr>
          <w:sz w:val="20"/>
          <w:szCs w:val="20"/>
        </w:rPr>
        <w:t>charakter</w:t>
      </w:r>
      <w:r>
        <w:rPr>
          <w:sz w:val="20"/>
          <w:szCs w:val="20"/>
        </w:rPr>
        <w:t>:</w:t>
      </w:r>
    </w:p>
    <w:p w:rsidR="00FD5E95" w:rsidRDefault="00461890">
      <w:pPr>
        <w:jc w:val="both"/>
        <w:rPr>
          <w:sz w:val="20"/>
          <w:szCs w:val="20"/>
        </w:rPr>
      </w:pPr>
      <w:r>
        <w:rPr>
          <w:sz w:val="20"/>
          <w:szCs w:val="20"/>
        </w:rPr>
        <w:t>Formální stránka práce vykazuje věcné chyby méně závažného charakteru</w:t>
      </w:r>
      <w:r>
        <w:rPr>
          <w:sz w:val="20"/>
          <w:szCs w:val="20"/>
        </w:rPr>
        <w:t xml:space="preserve">, jejichž letmý výpis připojuji </w:t>
      </w:r>
      <w:r>
        <w:rPr>
          <w:sz w:val="20"/>
          <w:szCs w:val="20"/>
        </w:rPr>
        <w:br/>
        <w:t xml:space="preserve">v Příloze. </w:t>
      </w:r>
    </w:p>
    <w:p w:rsidR="00FD5E95" w:rsidRDefault="00461890">
      <w:pPr>
        <w:jc w:val="both"/>
        <w:rPr>
          <w:sz w:val="20"/>
          <w:szCs w:val="20"/>
        </w:rPr>
      </w:pPr>
      <w:r>
        <w:rPr>
          <w:sz w:val="20"/>
          <w:szCs w:val="20"/>
        </w:rPr>
        <w:t>Obsahové členění práce je vhodně zvolen</w:t>
      </w:r>
      <w:r>
        <w:rPr>
          <w:sz w:val="20"/>
          <w:szCs w:val="20"/>
        </w:rPr>
        <w:t>é a srozumitelné. Když ve své rekapitulaci na str. 26 autor vyjadřuje své přesvědčení, že téma vlivu a inspirace Smithovy ekonomie staršími filosofickými směry (zde rozuměj stoicismus) či tehdejšími filosofickými tendencemi (zde rozuměj zejména Humovu filo</w:t>
      </w:r>
      <w:r>
        <w:rPr>
          <w:sz w:val="20"/>
          <w:szCs w:val="20"/>
        </w:rPr>
        <w:t xml:space="preserve">sofii a metafyzický koncept Newtonovy fyziky) sice „zdaleko nebylo vyčerpáno“, ale při rozsahovém omezení bakalářské práce dostatečným způsobem podáno, vedoucí práce s tímto hodnocením souhlasí. </w:t>
      </w:r>
    </w:p>
    <w:p w:rsidR="00FD5E95" w:rsidRDefault="00461890">
      <w:pPr>
        <w:jc w:val="both"/>
        <w:rPr>
          <w:sz w:val="20"/>
          <w:szCs w:val="20"/>
        </w:rPr>
      </w:pPr>
      <w:r>
        <w:rPr>
          <w:sz w:val="20"/>
          <w:szCs w:val="20"/>
        </w:rPr>
        <w:t xml:space="preserve">Jde o </w:t>
      </w:r>
      <w:r>
        <w:rPr>
          <w:i/>
          <w:sz w:val="20"/>
          <w:szCs w:val="20"/>
        </w:rPr>
        <w:t>bakalářskou</w:t>
      </w:r>
      <w:r>
        <w:rPr>
          <w:sz w:val="20"/>
          <w:szCs w:val="20"/>
        </w:rPr>
        <w:t xml:space="preserve"> kvalifikační práci, která vykazuje výrazně</w:t>
      </w:r>
      <w:r>
        <w:rPr>
          <w:sz w:val="20"/>
          <w:szCs w:val="20"/>
        </w:rPr>
        <w:t xml:space="preserve"> hlubší obeznámenost s pojednávanou problematikou, než je na této úrovni běžné: zejména práce s primární a sekundární literaturou (velká část cizojazyčně) přinesla autorovi žádoucí plody. Podařilo se mu srozumitelně popsat základní myšlenkové motivy Smitho</w:t>
      </w:r>
      <w:r>
        <w:rPr>
          <w:sz w:val="20"/>
          <w:szCs w:val="20"/>
        </w:rPr>
        <w:t xml:space="preserve">va učení – jak v </w:t>
      </w:r>
      <w:r>
        <w:rPr>
          <w:i/>
          <w:sz w:val="20"/>
          <w:szCs w:val="20"/>
        </w:rPr>
        <w:t>Bohatství národů</w:t>
      </w:r>
      <w:r>
        <w:rPr>
          <w:sz w:val="20"/>
          <w:szCs w:val="20"/>
        </w:rPr>
        <w:t xml:space="preserve"> (WN), tak v </w:t>
      </w:r>
      <w:r>
        <w:rPr>
          <w:i/>
          <w:sz w:val="20"/>
          <w:szCs w:val="20"/>
        </w:rPr>
        <w:t>Teorii mravních citů</w:t>
      </w:r>
      <w:r>
        <w:rPr>
          <w:sz w:val="20"/>
          <w:szCs w:val="20"/>
        </w:rPr>
        <w:t xml:space="preserve"> </w:t>
      </w:r>
      <w:r>
        <w:rPr>
          <w:sz w:val="20"/>
          <w:szCs w:val="20"/>
        </w:rPr>
        <w:t>(TMS); totéž se mu podařilo u Davida Huma, a charakteristika stoické filosofie převzatá autorem od Rasmussena je taktéž výstižná. Prostor, který autor věnuje vysvětlení Newtonových pravidel</w:t>
      </w:r>
      <w:r>
        <w:rPr>
          <w:sz w:val="20"/>
          <w:szCs w:val="20"/>
        </w:rPr>
        <w:t xml:space="preserve"> uvažování z </w:t>
      </w:r>
      <w:r>
        <w:rPr>
          <w:i/>
          <w:sz w:val="20"/>
          <w:szCs w:val="20"/>
        </w:rPr>
        <w:t>Principia mathematica</w:t>
      </w:r>
      <w:r>
        <w:rPr>
          <w:sz w:val="20"/>
          <w:szCs w:val="20"/>
        </w:rPr>
        <w:t xml:space="preserve">, se ukazuje relevantní, když vzápětí autor stejná pravidla nachází u Huma i Smithe. </w:t>
      </w:r>
    </w:p>
    <w:p w:rsidR="00FD5E95" w:rsidRDefault="00461890">
      <w:pPr>
        <w:jc w:val="both"/>
        <w:rPr>
          <w:sz w:val="20"/>
          <w:szCs w:val="20"/>
        </w:rPr>
      </w:pPr>
      <w:r>
        <w:rPr>
          <w:sz w:val="20"/>
          <w:szCs w:val="20"/>
        </w:rPr>
        <w:lastRenderedPageBreak/>
        <w:t>V druhé části své práce (Hodnota) na dílčích myšlenkových prvcích Smithovy teorie znovu rozehrává ty struny, které dle jeho pohledu souz</w:t>
      </w:r>
      <w:r>
        <w:rPr>
          <w:sz w:val="20"/>
          <w:szCs w:val="20"/>
        </w:rPr>
        <w:t xml:space="preserve">ní (tu mezi uspořádáním kosmu dle stoiků a uspořádáním trhu u Smithe; tu mezi prací nejen tvořící hodnotu, ale zachovávající život, a prací v Aristotelově pojetí s vhodným odkazem na antické pojetí </w:t>
      </w:r>
      <w:r>
        <w:rPr>
          <w:i/>
          <w:sz w:val="20"/>
          <w:szCs w:val="20"/>
        </w:rPr>
        <w:t>oikos</w:t>
      </w:r>
      <w:r>
        <w:rPr>
          <w:sz w:val="20"/>
          <w:szCs w:val="20"/>
        </w:rPr>
        <w:t xml:space="preserve"> a </w:t>
      </w:r>
      <w:r>
        <w:rPr>
          <w:i/>
          <w:sz w:val="20"/>
          <w:szCs w:val="20"/>
        </w:rPr>
        <w:t>oikonomiké</w:t>
      </w:r>
      <w:r>
        <w:rPr>
          <w:sz w:val="20"/>
          <w:szCs w:val="20"/>
        </w:rPr>
        <w:t>; tu mezi Smithovým ohrazením se vůči Ho</w:t>
      </w:r>
      <w:r>
        <w:rPr>
          <w:sz w:val="20"/>
          <w:szCs w:val="20"/>
        </w:rPr>
        <w:t>bbesově pojetí sebelásky či sobeckosti a pozitivní formulací starosti o sebe, a obdobným pojetím sebelásky ve tradici stoicismu). Rovněž závěr práce je formulován přehledně; úvaha o úloze stoicismu v dnešní ekonomii je zajímavá, a není spekulativní – je ve</w:t>
      </w:r>
      <w:r>
        <w:rPr>
          <w:sz w:val="20"/>
          <w:szCs w:val="20"/>
        </w:rPr>
        <w:t xml:space="preserve">dena s konkrétními odkazy na konkrétní veličiny dnešního ekonomického uvažování. </w:t>
      </w:r>
      <w:r>
        <w:rPr>
          <w:sz w:val="20"/>
          <w:szCs w:val="20"/>
        </w:rPr>
        <w:br/>
      </w:r>
      <w:r>
        <w:rPr>
          <w:sz w:val="20"/>
          <w:szCs w:val="20"/>
        </w:rPr>
        <w:t>K obsahové části práce své p</w:t>
      </w:r>
      <w:r>
        <w:rPr>
          <w:sz w:val="20"/>
          <w:szCs w:val="20"/>
        </w:rPr>
        <w:t>ostřehy a poznámky rovněž připojuji v Příloze.</w:t>
      </w:r>
    </w:p>
    <w:p w:rsidR="00FD5E95" w:rsidRDefault="00461890">
      <w:pPr>
        <w:jc w:val="both"/>
        <w:rPr>
          <w:sz w:val="20"/>
          <w:szCs w:val="20"/>
        </w:rPr>
      </w:pPr>
      <w:r>
        <w:rPr>
          <w:sz w:val="20"/>
          <w:szCs w:val="20"/>
        </w:rPr>
        <w:t>Celkově předloženou kvalifikační práci hodnotím jako bezesporu vhodnou pro obhajobu, totiž jako prác</w:t>
      </w:r>
      <w:r>
        <w:rPr>
          <w:sz w:val="20"/>
          <w:szCs w:val="20"/>
        </w:rPr>
        <w:t xml:space="preserve">i </w:t>
      </w:r>
      <w:r>
        <w:rPr>
          <w:b/>
          <w:sz w:val="20"/>
          <w:szCs w:val="20"/>
        </w:rPr>
        <w:t>výbornou</w:t>
      </w:r>
      <w:r>
        <w:rPr>
          <w:sz w:val="20"/>
          <w:szCs w:val="20"/>
        </w:rPr>
        <w:t xml:space="preserve">. </w:t>
      </w:r>
    </w:p>
    <w:p w:rsidR="00FD5E95" w:rsidRDefault="00FD5E95">
      <w:pPr>
        <w:spacing w:after="120"/>
        <w:rPr>
          <w:sz w:val="20"/>
          <w:szCs w:val="20"/>
        </w:rPr>
      </w:pPr>
    </w:p>
    <w:p w:rsidR="00FD5E95" w:rsidRDefault="00461890">
      <w:pPr>
        <w:spacing w:after="120"/>
        <w:ind w:left="4254" w:firstLine="708"/>
        <w:rPr>
          <w:sz w:val="20"/>
          <w:szCs w:val="20"/>
        </w:rPr>
      </w:pPr>
      <w:r>
        <w:rPr>
          <w:sz w:val="20"/>
          <w:szCs w:val="20"/>
        </w:rPr>
        <w:t>Mgr. František Weis</w:t>
      </w: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FD5E95">
      <w:pPr>
        <w:jc w:val="both"/>
        <w:rPr>
          <w:sz w:val="20"/>
          <w:szCs w:val="20"/>
        </w:rPr>
      </w:pPr>
    </w:p>
    <w:p w:rsidR="00FD5E95" w:rsidRDefault="00461890">
      <w:pPr>
        <w:jc w:val="both"/>
        <w:rPr>
          <w:b/>
          <w:sz w:val="20"/>
          <w:szCs w:val="20"/>
        </w:rPr>
      </w:pPr>
      <w:r>
        <w:rPr>
          <w:b/>
          <w:sz w:val="20"/>
          <w:szCs w:val="20"/>
        </w:rPr>
        <w:lastRenderedPageBreak/>
        <w:t>Příloha:</w:t>
      </w:r>
    </w:p>
    <w:p w:rsidR="00FD5E95" w:rsidRDefault="00461890">
      <w:pPr>
        <w:jc w:val="both"/>
        <w:rPr>
          <w:sz w:val="20"/>
          <w:szCs w:val="20"/>
        </w:rPr>
      </w:pPr>
      <w:r>
        <w:rPr>
          <w:sz w:val="20"/>
          <w:szCs w:val="20"/>
        </w:rPr>
        <w:t>FORMA: Když autor v Úvodu (str. 5) konstatuje všeobecně známou skutečnost, že Adam Smith je zakladatelem moderní ekonomie, může být první věta dalšího odstavce: „</w:t>
      </w:r>
      <w:r>
        <w:rPr>
          <w:i/>
          <w:sz w:val="20"/>
          <w:szCs w:val="20"/>
        </w:rPr>
        <w:t>Adam Smith nebyl ekonom</w:t>
      </w:r>
      <w:r>
        <w:rPr>
          <w:sz w:val="20"/>
          <w:szCs w:val="20"/>
        </w:rPr>
        <w:t>“ formulována pouze jako záměrně provokativní, silně polemická, přičemž</w:t>
      </w:r>
      <w:r>
        <w:rPr>
          <w:sz w:val="20"/>
          <w:szCs w:val="20"/>
        </w:rPr>
        <w:t xml:space="preserve"> by následoval výklad, proč autor se všeobecně známým pojetím nesouhlasí. Tak tomu v tomto případě není, proto je vhodné volit přiměřenější formulaci, např. „</w:t>
      </w:r>
      <w:r>
        <w:rPr>
          <w:i/>
          <w:sz w:val="20"/>
          <w:szCs w:val="20"/>
        </w:rPr>
        <w:t xml:space="preserve">Adam Smith však nebyl </w:t>
      </w:r>
      <w:r>
        <w:rPr>
          <w:sz w:val="20"/>
          <w:szCs w:val="20"/>
        </w:rPr>
        <w:t>pouze</w:t>
      </w:r>
      <w:r>
        <w:rPr>
          <w:i/>
          <w:sz w:val="20"/>
          <w:szCs w:val="20"/>
        </w:rPr>
        <w:t xml:space="preserve"> ekonomem</w:t>
      </w:r>
      <w:r>
        <w:rPr>
          <w:sz w:val="20"/>
          <w:szCs w:val="20"/>
        </w:rPr>
        <w:t>“ apod. Stylisticky by bylo žádoucí i upravit větu na str.9 „</w:t>
      </w:r>
      <w:r>
        <w:rPr>
          <w:i/>
          <w:sz w:val="20"/>
          <w:szCs w:val="20"/>
        </w:rPr>
        <w:t>Sympatie a benevolence jsou pro Smithe klíčové pojmy, skrze které se podle něj organizuje společnost</w:t>
      </w:r>
      <w:r>
        <w:rPr>
          <w:sz w:val="20"/>
          <w:szCs w:val="20"/>
        </w:rPr>
        <w:t>“ – společnost se jistě neorganizuje podle těchto dvou pojmů, ale oba morálně filosofické pojmy u Smithe vystihují společenskoekonomické fenomény, které Smi</w:t>
      </w:r>
      <w:r>
        <w:rPr>
          <w:sz w:val="20"/>
          <w:szCs w:val="20"/>
        </w:rPr>
        <w:t>th chápe jako zásadní pro společenský život. Podobně na téže straně „</w:t>
      </w:r>
      <w:r>
        <w:rPr>
          <w:i/>
          <w:sz w:val="20"/>
          <w:szCs w:val="20"/>
        </w:rPr>
        <w:t>Růst firem i trhů je klíčovým prvkem jeho filosofie</w:t>
      </w:r>
      <w:r>
        <w:rPr>
          <w:sz w:val="20"/>
          <w:szCs w:val="20"/>
        </w:rPr>
        <w:t>“ – přesnější a stylisticky vhodnější by bylo uvést, že ve Smithově ekonomické teorii je jedním ze stěžejních prvků zachycení mechanismů</w:t>
      </w:r>
      <w:r>
        <w:rPr>
          <w:sz w:val="20"/>
          <w:szCs w:val="20"/>
        </w:rPr>
        <w:t>, kterými lze zaručit dosahování nikoliv úpadku či stagnace, ale růstu dílčích subjektů ekonomických procesů, ať jednotlivců, či firem. Neobratné je sdělení, že „</w:t>
      </w:r>
      <w:r>
        <w:rPr>
          <w:i/>
          <w:sz w:val="20"/>
          <w:szCs w:val="20"/>
        </w:rPr>
        <w:t>Posledním předpokladem při pohledu na dlouhodobé štěstí člověka, se Smith opět inspiroval stoi</w:t>
      </w:r>
      <w:r>
        <w:rPr>
          <w:i/>
          <w:sz w:val="20"/>
          <w:szCs w:val="20"/>
        </w:rPr>
        <w:t>ckým pohledem</w:t>
      </w:r>
      <w:r>
        <w:rPr>
          <w:sz w:val="20"/>
          <w:szCs w:val="20"/>
        </w:rPr>
        <w:t>“ (str. 10), výraz „</w:t>
      </w:r>
      <w:r>
        <w:rPr>
          <w:i/>
          <w:sz w:val="20"/>
          <w:szCs w:val="20"/>
        </w:rPr>
        <w:t>etický maxim</w:t>
      </w:r>
      <w:r>
        <w:rPr>
          <w:sz w:val="20"/>
          <w:szCs w:val="20"/>
        </w:rPr>
        <w:t xml:space="preserve">“ se v prvním pádu v češtině nepoužívá, Maxim je kulomet sestrojený v roce 1883, v oblasti morální filosofie se v případě základních zásad pro lidské chování volí pojem „maxima“ (Kantův kategorický imperativ je </w:t>
      </w:r>
      <w:r>
        <w:rPr>
          <w:sz w:val="20"/>
          <w:szCs w:val="20"/>
        </w:rPr>
        <w:t>příkladem morální maximy, byť Kant sám chápe maximu jako subjektivní praktickou zásadu morálního chování, většinou teoreticky neuvědomělou a nezdůvodněnou). Obdobně formulace „</w:t>
      </w:r>
      <w:r>
        <w:rPr>
          <w:i/>
          <w:sz w:val="20"/>
          <w:szCs w:val="20"/>
        </w:rPr>
        <w:t>neviditelná ruka trhu neovlivňuje záměry každého přímo člověka</w:t>
      </w:r>
      <w:r>
        <w:rPr>
          <w:sz w:val="20"/>
          <w:szCs w:val="20"/>
        </w:rPr>
        <w:t>“ používá stylisti</w:t>
      </w:r>
      <w:r>
        <w:rPr>
          <w:sz w:val="20"/>
          <w:szCs w:val="20"/>
        </w:rPr>
        <w:t>cky nesprávně pořadí slov. Práce obsahuje i několik gramatických chyb či překlepů – „</w:t>
      </w:r>
      <w:r>
        <w:rPr>
          <w:i/>
          <w:sz w:val="20"/>
          <w:szCs w:val="20"/>
        </w:rPr>
        <w:t xml:space="preserve">ukázat vlivy … na ekonomického uvažování </w:t>
      </w:r>
      <w:r>
        <w:rPr>
          <w:sz w:val="20"/>
          <w:szCs w:val="20"/>
        </w:rPr>
        <w:t xml:space="preserve"> &lt;místo ekonomické&gt;“ (str. 7), „přebírá </w:t>
      </w:r>
      <w:r>
        <w:rPr>
          <w:i/>
          <w:sz w:val="20"/>
          <w:szCs w:val="20"/>
        </w:rPr>
        <w:t>tato</w:t>
      </w:r>
      <w:r>
        <w:rPr>
          <w:sz w:val="20"/>
          <w:szCs w:val="20"/>
        </w:rPr>
        <w:t xml:space="preserve"> &lt;místo </w:t>
      </w:r>
      <w:r>
        <w:rPr>
          <w:i/>
          <w:sz w:val="20"/>
          <w:szCs w:val="20"/>
        </w:rPr>
        <w:t>tyto</w:t>
      </w:r>
      <w:r>
        <w:rPr>
          <w:sz w:val="20"/>
          <w:szCs w:val="20"/>
        </w:rPr>
        <w:t>&gt; prvky stoického pohledu“ (str. 8), „</w:t>
      </w:r>
      <w:r>
        <w:rPr>
          <w:i/>
          <w:sz w:val="20"/>
          <w:szCs w:val="20"/>
        </w:rPr>
        <w:t>úvahy vedli</w:t>
      </w:r>
      <w:r>
        <w:rPr>
          <w:sz w:val="20"/>
          <w:szCs w:val="20"/>
        </w:rPr>
        <w:t xml:space="preserve"> &lt;místo vedly&gt;…“ (str. 9)</w:t>
      </w:r>
      <w:r>
        <w:rPr>
          <w:sz w:val="20"/>
          <w:szCs w:val="20"/>
        </w:rPr>
        <w:t>, „není více textů …, které by se věnovali &lt;místo věnovaly&gt;“ (str. 26). Rovněž na některých místech chybí interpunkce: „</w:t>
      </w:r>
      <w:r>
        <w:rPr>
          <w:i/>
          <w:sz w:val="20"/>
          <w:szCs w:val="20"/>
        </w:rPr>
        <w:t>lidé budou tím šťastnější &lt;,&gt; čím efektivněji budou moci využít výsledků své práce…</w:t>
      </w:r>
      <w:r>
        <w:rPr>
          <w:sz w:val="20"/>
          <w:szCs w:val="20"/>
        </w:rPr>
        <w:t>“ (str. 7) Nejedná se ale o významné chyby; větší dos</w:t>
      </w:r>
      <w:r>
        <w:rPr>
          <w:sz w:val="20"/>
          <w:szCs w:val="20"/>
        </w:rPr>
        <w:t>ah na hodnotu práce má skutečnost, že ne všechny citace jsou výsledkem dostatečného množství práce autora.</w:t>
      </w:r>
      <w:r>
        <w:rPr>
          <w:sz w:val="20"/>
          <w:szCs w:val="20"/>
        </w:rPr>
        <w:t xml:space="preserve"> Na trhu pak některými kupujícími musí být poukázáno na nedostatečné uvedení citačního zdroje (např. str. 12, kde uvedení zdroje: „Rasmussen 2011“ ne</w:t>
      </w:r>
      <w:r>
        <w:rPr>
          <w:sz w:val="20"/>
          <w:szCs w:val="20"/>
        </w:rPr>
        <w:t>umožňuje bez množství námahy dohledat odkud přesně je citováno; stejně tak „Roncaglia 2005“ na str. 18; odkaz na „Glanvill 1682“ na str. 17, v tomto případě není citovaný autor uveden ani v seznamu literatury. Tolik k formální stránce předložené práce.</w:t>
      </w:r>
    </w:p>
    <w:p w:rsidR="00FD5E95" w:rsidRDefault="00461890">
      <w:pPr>
        <w:jc w:val="both"/>
        <w:rPr>
          <w:sz w:val="20"/>
          <w:szCs w:val="20"/>
        </w:rPr>
      </w:pPr>
      <w:r>
        <w:rPr>
          <w:sz w:val="20"/>
          <w:szCs w:val="20"/>
        </w:rPr>
        <w:t>OBS</w:t>
      </w:r>
      <w:r>
        <w:rPr>
          <w:sz w:val="20"/>
          <w:szCs w:val="20"/>
        </w:rPr>
        <w:t xml:space="preserve">AH (nikoliv výhrady, ale poznámky k případné diskusi či dalšímu promyšlení zpracovaného tématu): </w:t>
      </w:r>
      <w:r>
        <w:rPr>
          <w:sz w:val="20"/>
          <w:szCs w:val="20"/>
        </w:rPr>
        <w:t>K prokázání vlivu stoické filosofie na myslitelský odkaz Adama Smithe by bylo vhodné zmínit historický kontext a roli tzv. novostoicismu v Anglii a Skotsku. Sm</w:t>
      </w:r>
      <w:r>
        <w:rPr>
          <w:sz w:val="20"/>
          <w:szCs w:val="20"/>
        </w:rPr>
        <w:t xml:space="preserve">ithův učitel Francis Hutcheson přeložil </w:t>
      </w:r>
      <w:r>
        <w:rPr>
          <w:i/>
          <w:sz w:val="20"/>
          <w:szCs w:val="20"/>
        </w:rPr>
        <w:t>Hovory k sobě samému</w:t>
      </w:r>
      <w:r>
        <w:rPr>
          <w:sz w:val="20"/>
          <w:szCs w:val="20"/>
        </w:rPr>
        <w:t xml:space="preserve"> Marka Aurelia, a překlad měl výrazný vliv na tehdejší intelektuální ovzduší, i díky jeho používání při vyučování Hutchesonově a jeho následovníků (překlad byl několikrát znovu vydán, a úvod překl</w:t>
      </w:r>
      <w:r>
        <w:rPr>
          <w:sz w:val="20"/>
          <w:szCs w:val="20"/>
        </w:rPr>
        <w:t>adatele ukazuje zjevné paralely s pozdější Smithovou morální filosofií).</w:t>
      </w:r>
    </w:p>
    <w:p w:rsidR="00FD5E95" w:rsidRDefault="00461890">
      <w:pPr>
        <w:jc w:val="both"/>
        <w:rPr>
          <w:sz w:val="20"/>
          <w:szCs w:val="20"/>
        </w:rPr>
      </w:pPr>
      <w:r>
        <w:rPr>
          <w:sz w:val="20"/>
          <w:szCs w:val="20"/>
        </w:rPr>
        <w:t>Jak je v bakalářské práci naznačeno, skotští myslitelé na rozdíl od kontinentálních kolegů tehdejší doby nesdílí scholastický intelektuální zájem o co nejsystematičtější a nejdetailně</w:t>
      </w:r>
      <w:r>
        <w:rPr>
          <w:sz w:val="20"/>
          <w:szCs w:val="20"/>
        </w:rPr>
        <w:t>jší zpracování tématu, spíše jim jde o základní zachycení běžné životní praxe, a jejích strukturních momentů, a to na způsob přírodně vědeckého pozorování, které není ani z principu teistické ani z principu ateistické (ale většinově je prováděno z teistick</w:t>
      </w:r>
      <w:r>
        <w:rPr>
          <w:sz w:val="20"/>
          <w:szCs w:val="20"/>
        </w:rPr>
        <w:t>ých pozic, snad s výjimkou Huma). V</w:t>
      </w:r>
      <w:r>
        <w:rPr>
          <w:sz w:val="20"/>
          <w:szCs w:val="20"/>
        </w:rPr>
        <w:t xml:space="preserve">e Smithových </w:t>
      </w:r>
      <w:r>
        <w:rPr>
          <w:i/>
          <w:sz w:val="20"/>
          <w:szCs w:val="20"/>
        </w:rPr>
        <w:t xml:space="preserve">Essays on philosophical subjects </w:t>
      </w:r>
      <w:r>
        <w:rPr>
          <w:sz w:val="20"/>
          <w:szCs w:val="20"/>
        </w:rPr>
        <w:t>(1795), která předložená práce rovněž používá, chápe Smith filosofii jako dílo imaginativního procesu, ve kterém je do chaosu pozorovaných jevů a událostí vnášen řád, a filoso</w:t>
      </w:r>
      <w:r>
        <w:rPr>
          <w:sz w:val="20"/>
          <w:szCs w:val="20"/>
        </w:rPr>
        <w:t xml:space="preserve">fická věda podle Smithe oproti našemu </w:t>
      </w:r>
      <w:r>
        <w:rPr>
          <w:sz w:val="20"/>
          <w:szCs w:val="20"/>
        </w:rPr>
        <w:lastRenderedPageBreak/>
        <w:t>chápání jako objevující a formulující přírodní zákonitosti je imaginativně tvořivá - vědecké teorie ve smithiánském pojetí nejsou objevy přírodních zákonitostí, ale mohli bychom říci spíše vynálezy soudržných explanačn</w:t>
      </w:r>
      <w:r>
        <w:rPr>
          <w:sz w:val="20"/>
          <w:szCs w:val="20"/>
        </w:rPr>
        <w:t xml:space="preserve">ích modelů. V tom je Smith jednoznačně souputníkem a následovníkem Huma, a v tomto konkrétním ohledu stojí podle mého názoru proti základnímu nastavení stoické filosofie. </w:t>
      </w:r>
    </w:p>
    <w:p w:rsidR="00FD5E95" w:rsidRDefault="00461890">
      <w:pPr>
        <w:jc w:val="both"/>
        <w:rPr>
          <w:sz w:val="20"/>
          <w:szCs w:val="20"/>
        </w:rPr>
      </w:pPr>
      <w:r>
        <w:rPr>
          <w:sz w:val="20"/>
          <w:szCs w:val="20"/>
        </w:rPr>
        <w:t xml:space="preserve">Bakalářské práci by možná prospělo vylíčit pojem stoické </w:t>
      </w:r>
      <w:r>
        <w:rPr>
          <w:i/>
          <w:sz w:val="20"/>
          <w:szCs w:val="20"/>
        </w:rPr>
        <w:t>oikeiósis</w:t>
      </w:r>
      <w:r>
        <w:rPr>
          <w:sz w:val="20"/>
          <w:szCs w:val="20"/>
        </w:rPr>
        <w:t xml:space="preserve">, který se odráží </w:t>
      </w:r>
      <w:r>
        <w:rPr>
          <w:sz w:val="20"/>
          <w:szCs w:val="20"/>
        </w:rPr>
        <w:t>podle některých interpretů ve Smithově představě o rozšiřování sympatie vůči nejbližším, pak vzdálenějším až postupně k cizím lidem. Stoické pojetí kosmu zahrnujícího dílčí kosmos lidského společenství, vše přitom prodchnuto logem, řádem, Smithovi dává alt</w:t>
      </w:r>
      <w:r>
        <w:rPr>
          <w:sz w:val="20"/>
          <w:szCs w:val="20"/>
        </w:rPr>
        <w:t>ernativu k Hobbesově teorii smlouvy, se kterou nesouhlasí (odlišné pojetí sebelásky bakalářská práce správně pojmenovává).  Namísto krutého světa boje všech proti všem, který se odehrává v přirozeném stavu lidské existence podle Hobbese umožňuje stoický un</w:t>
      </w:r>
      <w:r>
        <w:rPr>
          <w:sz w:val="20"/>
          <w:szCs w:val="20"/>
        </w:rPr>
        <w:t xml:space="preserve">iversalismus a kosmopolitismus vidět společnost zásadně optimisticky – vzájemná shoda je dána samotnou přirozeností, a soulad mezi lidmi není nutné vynucovat zákonem. </w:t>
      </w:r>
    </w:p>
    <w:p w:rsidR="00FD5E95" w:rsidRDefault="00461890">
      <w:pPr>
        <w:jc w:val="both"/>
        <w:rPr>
          <w:sz w:val="20"/>
          <w:szCs w:val="20"/>
        </w:rPr>
      </w:pPr>
      <w:r>
        <w:rPr>
          <w:sz w:val="20"/>
          <w:szCs w:val="20"/>
        </w:rPr>
        <w:t xml:space="preserve"> „</w:t>
      </w:r>
      <w:r>
        <w:rPr>
          <w:i/>
          <w:sz w:val="20"/>
          <w:szCs w:val="20"/>
        </w:rPr>
        <w:t xml:space="preserve">Podle stoiků by měl člověk vnímat sebe nikoli jako něco odděleného a izolovaného, ale </w:t>
      </w:r>
      <w:r>
        <w:rPr>
          <w:i/>
          <w:sz w:val="20"/>
          <w:szCs w:val="20"/>
        </w:rPr>
        <w:t>jako občana světa, člena rozsáhlého společenství přírody. … Cokoli se ho týká, nemělo by na něj působit víc než to, co se týká jakékoli jiné stejně důležité součásti tohoto rozsáhlého systému. Neměli bychom se vidět v tom světle, do kterého nás často staví</w:t>
      </w:r>
      <w:r>
        <w:rPr>
          <w:i/>
          <w:sz w:val="20"/>
          <w:szCs w:val="20"/>
        </w:rPr>
        <w:t xml:space="preserve"> naše vlastní sobecké city, ale ve světle, ve kterém by nás viděl kterýkoli jiný občan světa. Měli bychom pohlížet na cokoli, co nás postihne, stejně jako na to, co postihlo našeho bližního, nebo, což je totéž, stejně jako náš soused pohlíží na to, co post</w:t>
      </w:r>
      <w:r>
        <w:rPr>
          <w:i/>
          <w:sz w:val="20"/>
          <w:szCs w:val="20"/>
        </w:rPr>
        <w:t>ihlo nás</w:t>
      </w:r>
      <w:r>
        <w:rPr>
          <w:sz w:val="20"/>
          <w:szCs w:val="20"/>
        </w:rPr>
        <w:t xml:space="preserve">.“ (TMS III.III.11) </w:t>
      </w:r>
    </w:p>
    <w:p w:rsidR="00FD5E95" w:rsidRDefault="00461890">
      <w:pPr>
        <w:jc w:val="both"/>
        <w:rPr>
          <w:sz w:val="20"/>
          <w:szCs w:val="20"/>
        </w:rPr>
      </w:pPr>
      <w:r>
        <w:rPr>
          <w:sz w:val="20"/>
          <w:szCs w:val="20"/>
        </w:rPr>
        <w:t xml:space="preserve">Smith je se svou teorií morálních sentimentů nucen odmítnout ideál neotřesitelnosti stoického mudrce v raném stoicismu (Zénón, Chrýsippos), protože v něm vidí zanedbání soucítění s ostatními. Oproti široce sdílenému názoru, že </w:t>
      </w:r>
      <w:r>
        <w:rPr>
          <w:sz w:val="20"/>
          <w:szCs w:val="20"/>
        </w:rPr>
        <w:t xml:space="preserve">Smith stoické filosofické principy přijímá a využívá, se v současné době objevují jiné práce, které se snaží prokázat, v čem a proč byl Smith </w:t>
      </w:r>
      <w:r>
        <w:rPr>
          <w:i/>
          <w:sz w:val="20"/>
          <w:szCs w:val="20"/>
        </w:rPr>
        <w:t xml:space="preserve">anti-stoik </w:t>
      </w:r>
      <w:r>
        <w:rPr>
          <w:sz w:val="20"/>
          <w:szCs w:val="20"/>
        </w:rPr>
        <w:t>(viz např. práce Marie Pii Paganelli v kontrastu např. k Macfiemu, nebo to, jak María Elton poměrně pře</w:t>
      </w:r>
      <w:r>
        <w:rPr>
          <w:sz w:val="20"/>
          <w:szCs w:val="20"/>
        </w:rPr>
        <w:t xml:space="preserve">svědčivě ukazuje, že smithiánská sebeláska má své myšlenkové kořeny spíše v epikureismu než ve stoické </w:t>
      </w:r>
      <w:r>
        <w:rPr>
          <w:i/>
          <w:sz w:val="20"/>
          <w:szCs w:val="20"/>
        </w:rPr>
        <w:t xml:space="preserve">oikeiosis - </w:t>
      </w:r>
      <w:r>
        <w:rPr>
          <w:sz w:val="20"/>
          <w:szCs w:val="20"/>
        </w:rPr>
        <w:t>viz autorčin článek</w:t>
      </w:r>
      <w:r>
        <w:rPr>
          <w:i/>
          <w:sz w:val="20"/>
          <w:szCs w:val="20"/>
        </w:rPr>
        <w:t xml:space="preserve"> Self-love in Adam Smith and the Stoic Oikeiosis</w:t>
      </w:r>
      <w:r>
        <w:rPr>
          <w:sz w:val="20"/>
          <w:szCs w:val="20"/>
        </w:rPr>
        <w:t xml:space="preserve"> -, což posiluje autorem kvalifikační práce uvedený druhý pilíř Smithovy f</w:t>
      </w:r>
      <w:r>
        <w:rPr>
          <w:sz w:val="20"/>
          <w:szCs w:val="20"/>
        </w:rPr>
        <w:t xml:space="preserve">ilosofie (Hume, který právě Epikúra volil namísto Hutchesonem přijímaných a propagovaných stoiků). </w:t>
      </w:r>
    </w:p>
    <w:p w:rsidR="00FD5E95" w:rsidRDefault="00461890">
      <w:pPr>
        <w:jc w:val="both"/>
        <w:rPr>
          <w:sz w:val="20"/>
          <w:szCs w:val="20"/>
        </w:rPr>
      </w:pPr>
      <w:r>
        <w:rPr>
          <w:sz w:val="20"/>
          <w:szCs w:val="20"/>
        </w:rPr>
        <w:t>Macfie, kterého autor rovněž využil při psaní své kvalifikační práce, v tomto ohledu interpretuje metaforu neviditelné ruky jako Smithův pokus vyjádřit jeho</w:t>
      </w:r>
      <w:r>
        <w:rPr>
          <w:sz w:val="20"/>
          <w:szCs w:val="20"/>
        </w:rPr>
        <w:t xml:space="preserve"> vlastní pohled na vztah mezi božskou prozřetelností, systémem přírody, a lidským chováním. </w:t>
      </w:r>
    </w:p>
    <w:p w:rsidR="00FD5E95" w:rsidRDefault="00461890">
      <w:pPr>
        <w:jc w:val="both"/>
        <w:rPr>
          <w:sz w:val="20"/>
          <w:szCs w:val="20"/>
        </w:rPr>
      </w:pPr>
      <w:r>
        <w:rPr>
          <w:sz w:val="20"/>
          <w:szCs w:val="20"/>
        </w:rPr>
        <w:t xml:space="preserve">V historickém ohledu by bylo možno uvést, že </w:t>
      </w:r>
      <w:r>
        <w:rPr>
          <w:sz w:val="20"/>
          <w:szCs w:val="20"/>
        </w:rPr>
        <w:t>Skotsko 18. století procház</w:t>
      </w:r>
      <w:r>
        <w:rPr>
          <w:sz w:val="20"/>
          <w:szCs w:val="20"/>
        </w:rPr>
        <w:t>elo</w:t>
      </w:r>
      <w:r>
        <w:rPr>
          <w:sz w:val="20"/>
          <w:szCs w:val="20"/>
        </w:rPr>
        <w:t xml:space="preserve"> bouřlivou společenskou proměnou, jíž </w:t>
      </w:r>
      <w:r>
        <w:rPr>
          <w:sz w:val="20"/>
          <w:szCs w:val="20"/>
        </w:rPr>
        <w:t>byl</w:t>
      </w:r>
      <w:r>
        <w:rPr>
          <w:sz w:val="20"/>
          <w:szCs w:val="20"/>
        </w:rPr>
        <w:t xml:space="preserve"> Smith bezprostředním svědkem – namísto autorit</w:t>
      </w:r>
      <w:r>
        <w:rPr>
          <w:sz w:val="20"/>
          <w:szCs w:val="20"/>
        </w:rPr>
        <w:t xml:space="preserve">y zaostalých horalů s rodovým uspořádáním kmenových společností se těžiště přesunuje k obchodním společnostem měst. Před očima probíhající společenské změny </w:t>
      </w:r>
      <w:r>
        <w:rPr>
          <w:sz w:val="20"/>
          <w:szCs w:val="20"/>
        </w:rPr>
        <w:t xml:space="preserve">byly </w:t>
      </w:r>
      <w:r>
        <w:rPr>
          <w:sz w:val="20"/>
          <w:szCs w:val="20"/>
        </w:rPr>
        <w:t xml:space="preserve">Smithovi motivací pro jeho úvahy (Spencer Pack v tomto dává za pravdu Schumpeterově postřehu, </w:t>
      </w:r>
      <w:r>
        <w:rPr>
          <w:sz w:val="20"/>
          <w:szCs w:val="20"/>
        </w:rPr>
        <w:t>že Smith byl dobře zabydlen v duchu své doby). Oproti výše zmíněným možným rozdílům mezi Smithov</w:t>
      </w:r>
      <w:r>
        <w:rPr>
          <w:sz w:val="20"/>
          <w:szCs w:val="20"/>
        </w:rPr>
        <w:t>ým dílem a stoicismem je n</w:t>
      </w:r>
      <w:r>
        <w:rPr>
          <w:sz w:val="20"/>
          <w:szCs w:val="20"/>
        </w:rPr>
        <w:t>epochybně společným prvkem stoicismu i Smithovy morální filosofie předpoklad shodných potřeb všech lidí, a stoické pojetí světoobčanst</w:t>
      </w:r>
      <w:r>
        <w:rPr>
          <w:sz w:val="20"/>
          <w:szCs w:val="20"/>
        </w:rPr>
        <w:t xml:space="preserve">ví (viz např. Schofield, </w:t>
      </w:r>
      <w:r>
        <w:rPr>
          <w:i/>
          <w:sz w:val="20"/>
          <w:szCs w:val="20"/>
        </w:rPr>
        <w:t>The Stoic Idea of the City</w:t>
      </w:r>
      <w:r>
        <w:rPr>
          <w:sz w:val="20"/>
          <w:szCs w:val="20"/>
        </w:rPr>
        <w:t xml:space="preserve">). </w:t>
      </w:r>
    </w:p>
    <w:p w:rsidR="00FD5E95" w:rsidRDefault="00461890">
      <w:pPr>
        <w:jc w:val="both"/>
        <w:rPr>
          <w:sz w:val="20"/>
          <w:szCs w:val="20"/>
        </w:rPr>
      </w:pPr>
      <w:r>
        <w:rPr>
          <w:sz w:val="20"/>
          <w:szCs w:val="20"/>
        </w:rPr>
        <w:t>Předložená práce vystihuje dobře, jak v </w:t>
      </w:r>
      <w:r>
        <w:rPr>
          <w:i/>
          <w:sz w:val="20"/>
          <w:szCs w:val="20"/>
        </w:rPr>
        <w:t>Bohatství</w:t>
      </w:r>
      <w:r>
        <w:rPr>
          <w:i/>
          <w:sz w:val="20"/>
          <w:szCs w:val="20"/>
        </w:rPr>
        <w:t xml:space="preserve"> národů</w:t>
      </w:r>
      <w:r>
        <w:rPr>
          <w:sz w:val="20"/>
          <w:szCs w:val="20"/>
        </w:rPr>
        <w:t xml:space="preserve"> je člověk je hnán úsilím o zlepšení svých životních podmínek, což je prospěšné pro celek společnosti, a v </w:t>
      </w:r>
      <w:r>
        <w:rPr>
          <w:i/>
          <w:sz w:val="20"/>
          <w:szCs w:val="20"/>
        </w:rPr>
        <w:t>Teorii mravních sentimentů</w:t>
      </w:r>
      <w:r>
        <w:rPr>
          <w:sz w:val="20"/>
          <w:szCs w:val="20"/>
        </w:rPr>
        <w:t xml:space="preserve"> z jiné stra</w:t>
      </w:r>
      <w:r>
        <w:rPr>
          <w:sz w:val="20"/>
          <w:szCs w:val="20"/>
        </w:rPr>
        <w:t xml:space="preserve">ny viděno, jak </w:t>
      </w:r>
      <w:r>
        <w:rPr>
          <w:sz w:val="20"/>
          <w:szCs w:val="20"/>
        </w:rPr>
        <w:lastRenderedPageBreak/>
        <w:t>je člověk motivován získat respekt a uznání u svých spoluobčanů. Autorem na str. 10 vyjádřená domně</w:t>
      </w:r>
      <w:r>
        <w:rPr>
          <w:sz w:val="20"/>
          <w:szCs w:val="20"/>
        </w:rPr>
        <w:t>nka, že “důraz na růst může pocházet už z pozorování stoiků, kdy subjektivní pocit štěstí pociťujeme pouze tehdy, když se naše objektivní živo</w:t>
      </w:r>
      <w:r>
        <w:rPr>
          <w:sz w:val="20"/>
          <w:szCs w:val="20"/>
        </w:rPr>
        <w:t>tní situace zlepšuje” svědčí podle mého porozumění dané problematice spíše proti než pro stoické pojetí. Domnívám se, že Smithovi oproti stoikům nejde zjednodušeně řečeno o to co nejlépe poznat přirozený řád kosmu, jehož je člověk součástí, a díky tomuto p</w:t>
      </w:r>
      <w:r>
        <w:rPr>
          <w:sz w:val="20"/>
          <w:szCs w:val="20"/>
        </w:rPr>
        <w:t>oznání se netrápit nad věcmi, které jsou nevyhnutelné  a pro přírodu charakteristické, ale věnovat svůj životní čas tomu, být co nejvíce sladěn s tímto řádem. Spíše bych se klonil k tomu, že prvky křesťanského pojetí (zejména lidská svoboda) umožňují pojmo</w:t>
      </w:r>
      <w:r>
        <w:rPr>
          <w:sz w:val="20"/>
          <w:szCs w:val="20"/>
        </w:rPr>
        <w:t>ut zcela nestoický zápas o spásu vlastní duše sekulárním způsobem jako zápas vlastní existence o úspěch. Úloha druhých a zejména přesvědčení o pozitivním “předladění” i nízkých zájmů (které jsou stále projevem základního self-interest, hnací síly naší exis</w:t>
      </w:r>
      <w:r>
        <w:rPr>
          <w:sz w:val="20"/>
          <w:szCs w:val="20"/>
        </w:rPr>
        <w:t>tence) ze strany neviditelné ruky trhu se mi v tomto smyslu spíše než jako stoické dědictví jeví jako konkrétní Smithovo naplnění kreativní, imaginativní role lidského rozumu, který uspořádává chaoticky vyskytující se jevy (ať ekonomické či přírodní), prot</w:t>
      </w:r>
      <w:r>
        <w:rPr>
          <w:sz w:val="20"/>
          <w:szCs w:val="20"/>
        </w:rPr>
        <w:t xml:space="preserve">ože k silné tezi o přirozené zákonitosti (objev zákona oproti “vynálezu” koherentní teorie) mají velmi blízko stoikové, ale nikoliv Hume a humovsky ladění myslitelé. </w:t>
      </w:r>
    </w:p>
    <w:p w:rsidR="00FD5E95" w:rsidRDefault="00461890">
      <w:pPr>
        <w:jc w:val="both"/>
        <w:rPr>
          <w:sz w:val="20"/>
          <w:szCs w:val="20"/>
        </w:rPr>
      </w:pPr>
      <w:r>
        <w:rPr>
          <w:sz w:val="20"/>
          <w:szCs w:val="20"/>
        </w:rPr>
        <w:t>V předložené kvalifikační práci je Humův pohled v</w:t>
      </w:r>
      <w:r>
        <w:rPr>
          <w:sz w:val="20"/>
          <w:szCs w:val="20"/>
        </w:rPr>
        <w:t>elmi dobře je vystižen. V kontextu pojed</w:t>
      </w:r>
      <w:r>
        <w:rPr>
          <w:sz w:val="20"/>
          <w:szCs w:val="20"/>
        </w:rPr>
        <w:t xml:space="preserve">návaného tématu k tomu lze doplnit, že např. ve </w:t>
      </w:r>
      <w:r>
        <w:rPr>
          <w:i/>
          <w:sz w:val="20"/>
          <w:szCs w:val="20"/>
        </w:rPr>
        <w:t>Zkoumání o lidském rozumu</w:t>
      </w:r>
      <w:r>
        <w:rPr>
          <w:sz w:val="20"/>
          <w:szCs w:val="20"/>
        </w:rPr>
        <w:t xml:space="preserve"> uvádí: „Zde je svého druhu předzjevená harmonie mezi chodem přírody a sledem našich idejí; i kdyby síly a moci, jimiž je ovládána příroda, nám naprosto neznámé, přece shledáme, že pohyb našich myšlenek a představ by odpovídaly pohybu ostatních děl přírody</w:t>
      </w:r>
      <w:r>
        <w:rPr>
          <w:sz w:val="20"/>
          <w:szCs w:val="20"/>
        </w:rPr>
        <w:t xml:space="preserve">. Zvyk je oním principem, který způsobuje tento rozsah“. (Hume, </w:t>
      </w:r>
      <w:r>
        <w:rPr>
          <w:i/>
          <w:sz w:val="20"/>
          <w:szCs w:val="20"/>
        </w:rPr>
        <w:t>Zkoumání o lidském rozumu</w:t>
      </w:r>
      <w:r>
        <w:rPr>
          <w:sz w:val="20"/>
          <w:szCs w:val="20"/>
        </w:rPr>
        <w:t>, str. 88).  Hume odkazuje na „moudrost přírody“, která funguje bez ohledu na to, zda člověk provádí či neprovádí složité rozumové dedukce. Obdobné přesvědčení o moudr</w:t>
      </w:r>
      <w:r>
        <w:rPr>
          <w:sz w:val="20"/>
          <w:szCs w:val="20"/>
        </w:rPr>
        <w:t>osti přírody nacházíme i u Humova přítele Adama Smithe: jde spíše o to, naučit se používat rozumějící „instinkt, který do nás vložila příroda, a který vede naše myšlení po dráze, odpovídající tomu chodu, který byl ustaven mezi vnějšími předměty</w:t>
      </w:r>
      <w:r>
        <w:rPr>
          <w:sz w:val="20"/>
          <w:szCs w:val="20"/>
        </w:rPr>
        <w:t>”</w:t>
      </w:r>
      <w:r>
        <w:rPr>
          <w:sz w:val="20"/>
          <w:szCs w:val="20"/>
        </w:rPr>
        <w:t xml:space="preserve"> (tamtéž). </w:t>
      </w:r>
    </w:p>
    <w:p w:rsidR="00FD5E95" w:rsidRDefault="00461890">
      <w:pPr>
        <w:jc w:val="both"/>
        <w:rPr>
          <w:sz w:val="20"/>
          <w:szCs w:val="20"/>
        </w:rPr>
      </w:pPr>
      <w:r>
        <w:rPr>
          <w:sz w:val="20"/>
          <w:szCs w:val="20"/>
        </w:rPr>
        <w:t xml:space="preserve">Výstižný je autorův poukaz na Newtonovu vědeckou metodologii, a není náhodou, že Hutcheson, Smithův učitel, předpokládal, že „sebeláska v oblasti morální funguje doslova stejně jako gravitace ve fyzikálním světě.“ (Myers, </w:t>
      </w:r>
      <w:r>
        <w:rPr>
          <w:i/>
          <w:sz w:val="20"/>
          <w:szCs w:val="20"/>
        </w:rPr>
        <w:t>Adam Smith as Critic of Ideas</w:t>
      </w:r>
      <w:r>
        <w:rPr>
          <w:sz w:val="20"/>
          <w:szCs w:val="20"/>
        </w:rPr>
        <w:t>, 19</w:t>
      </w:r>
      <w:r>
        <w:rPr>
          <w:sz w:val="20"/>
          <w:szCs w:val="20"/>
        </w:rPr>
        <w:t>75, str. 285)</w:t>
      </w:r>
    </w:p>
    <w:p w:rsidR="00FD5E95" w:rsidRDefault="00461890">
      <w:pPr>
        <w:jc w:val="both"/>
        <w:rPr>
          <w:sz w:val="20"/>
          <w:szCs w:val="20"/>
        </w:rPr>
      </w:pPr>
      <w:r>
        <w:rPr>
          <w:sz w:val="20"/>
          <w:szCs w:val="20"/>
        </w:rPr>
        <w:t xml:space="preserve">Na rozdíl od aristotelského přesvědčení o primární roli „života dobrého“ v rozlišení od „života pouhého“, jak je provedeno </w:t>
      </w:r>
      <w:r>
        <w:rPr>
          <w:sz w:val="20"/>
          <w:szCs w:val="20"/>
        </w:rPr>
        <w:t xml:space="preserve">v </w:t>
      </w:r>
      <w:r>
        <w:rPr>
          <w:sz w:val="20"/>
          <w:szCs w:val="20"/>
        </w:rPr>
        <w:t>úvahách Aristotelových (včetně úvah týkajících se ekonomických téma), je Smith protagonistou tzv. economic of happine</w:t>
      </w:r>
      <w:r>
        <w:rPr>
          <w:sz w:val="20"/>
          <w:szCs w:val="20"/>
        </w:rPr>
        <w:t xml:space="preserve">ss – stejně jako David Hume, který je autorem řady pojednání o ekonomice, je Smith přesvědčen, že ekonomický růst přináší vyšší míru štěstí a životní spokojenosti členů ekonomicky fungující společnosti (viz k tomu např. Crespo, </w:t>
      </w:r>
      <w:r>
        <w:rPr>
          <w:i/>
          <w:sz w:val="20"/>
          <w:szCs w:val="20"/>
        </w:rPr>
        <w:t>Economics and Other Discipli</w:t>
      </w:r>
      <w:r>
        <w:rPr>
          <w:i/>
          <w:sz w:val="20"/>
          <w:szCs w:val="20"/>
        </w:rPr>
        <w:t>nes</w:t>
      </w:r>
      <w:r>
        <w:rPr>
          <w:sz w:val="20"/>
          <w:szCs w:val="20"/>
        </w:rPr>
        <w:t xml:space="preserve">). </w:t>
      </w:r>
    </w:p>
    <w:p w:rsidR="00FD5E95" w:rsidRDefault="00461890">
      <w:pPr>
        <w:jc w:val="both"/>
        <w:rPr>
          <w:sz w:val="20"/>
          <w:szCs w:val="20"/>
        </w:rPr>
      </w:pPr>
      <w:r>
        <w:rPr>
          <w:sz w:val="20"/>
          <w:szCs w:val="20"/>
        </w:rPr>
        <w:t>Smith je po vzoru svého učitele Hutchesona přesvědčen, že obchodník není přirozeně chamtivý, ale naopak rozumný, protože sebeláska a motivace po dosažení zisku je vyvážena uvážlivostí, schopností vidět, jak by případná nepoctivost obchodníkovi uškod</w:t>
      </w:r>
      <w:r>
        <w:rPr>
          <w:sz w:val="20"/>
          <w:szCs w:val="20"/>
        </w:rPr>
        <w:t>ila (odsouzení ze strany oklamaných klientů, vydělení se z fungující společnosti…). Obchod nezanáší do zvykově ustálené společnosti cizí a vlastně rozvratné prvky, naopak kultivuje komunikaci a jazyk, který je hlavním nástrojem vědy. Dělba práce je zásadně</w:t>
      </w:r>
      <w:r>
        <w:rPr>
          <w:sz w:val="20"/>
          <w:szCs w:val="20"/>
        </w:rPr>
        <w:t xml:space="preserve"> pozitivním faktorem, promýšleným nejen na individuální úrovni, ale i na úrovni město/vesnice, a dokonce i stát/cizí stát</w:t>
      </w:r>
      <w:r>
        <w:rPr>
          <w:sz w:val="20"/>
          <w:szCs w:val="20"/>
        </w:rPr>
        <w:t xml:space="preserve">, atd. V závěru kvalifikační práce naznačený efekt konceptu sebeorganizujícího se trhu, tj. “aby trh fungoval co nejlépe, musí se lidé </w:t>
      </w:r>
      <w:r>
        <w:rPr>
          <w:sz w:val="20"/>
          <w:szCs w:val="20"/>
        </w:rPr>
        <w:t xml:space="preserve">zestoičtit”, vedle klasického příkladu z křesťanské tradice (je člověk stvořen pro sobotu nebo sobota pro člověka?) vzbuzuje otázku, zda uvedený koncept trhu spíše než </w:t>
      </w:r>
      <w:r>
        <w:rPr>
          <w:i/>
          <w:sz w:val="20"/>
          <w:szCs w:val="20"/>
        </w:rPr>
        <w:t>logos</w:t>
      </w:r>
      <w:r>
        <w:rPr>
          <w:sz w:val="20"/>
          <w:szCs w:val="20"/>
        </w:rPr>
        <w:t xml:space="preserve"> stoického kosmu nepřipomíná bytnost techniky v úvahách pozdního Heideggera (</w:t>
      </w:r>
      <w:r>
        <w:rPr>
          <w:i/>
          <w:sz w:val="20"/>
          <w:szCs w:val="20"/>
        </w:rPr>
        <w:t>das Ge</w:t>
      </w:r>
      <w:r>
        <w:rPr>
          <w:i/>
          <w:sz w:val="20"/>
          <w:szCs w:val="20"/>
        </w:rPr>
        <w:t>stell</w:t>
      </w:r>
      <w:r>
        <w:rPr>
          <w:sz w:val="20"/>
          <w:szCs w:val="20"/>
        </w:rPr>
        <w:t xml:space="preserve">). </w:t>
      </w:r>
    </w:p>
    <w:sectPr w:rsidR="00FD5E95">
      <w:headerReference w:type="default" r:id="rId7"/>
      <w:footerReference w:type="default" r:id="rId8"/>
      <w:pgSz w:w="11906" w:h="16838"/>
      <w:pgMar w:top="2466" w:right="1276" w:bottom="1503" w:left="1956" w:header="737" w:footer="68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00000" w:rsidRDefault="00461890">
      <w:pPr>
        <w:spacing w:after="0" w:line="240" w:lineRule="auto"/>
      </w:pPr>
      <w:r>
        <w:separator/>
      </w:r>
    </w:p>
  </w:endnote>
  <w:endnote w:type="continuationSeparator" w:id="0">
    <w:p w:rsidR="00000000" w:rsidRDefault="004618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roman"/>
    <w:notTrueType/>
    <w:pitch w:val="default"/>
  </w:font>
  <w:font w:name="Georgia">
    <w:panose1 w:val="02040502050405020303"/>
    <w:charset w:val="EE"/>
    <w:family w:val="roman"/>
    <w:pitch w:val="variable"/>
    <w:sig w:usb0="00000287" w:usb1="00000000" w:usb2="00000000" w:usb3="00000000" w:csb0="0000009F" w:csb1="00000000"/>
  </w:font>
  <w:font w:name="Rasa">
    <w:charset w:val="0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D5E95" w:rsidRDefault="00FD5E95">
    <w:pPr>
      <w:widowControl w:val="0"/>
      <w:pBdr>
        <w:top w:val="nil"/>
        <w:left w:val="nil"/>
        <w:bottom w:val="nil"/>
        <w:right w:val="nil"/>
        <w:between w:val="nil"/>
      </w:pBdr>
      <w:spacing w:after="0"/>
      <w:rPr>
        <w:color w:val="000000"/>
      </w:rPr>
    </w:pPr>
  </w:p>
  <w:tbl>
    <w:tblPr>
      <w:tblStyle w:val="a"/>
      <w:tblW w:w="850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3836"/>
      <w:gridCol w:w="2934"/>
      <w:gridCol w:w="1734"/>
    </w:tblGrid>
    <w:tr w:rsidR="00FD5E95">
      <w:tc>
        <w:tcPr>
          <w:tcW w:w="3837"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Jihočeská univerzita v Českých Budějovicích</w:t>
          </w:r>
        </w:p>
      </w:tc>
      <w:tc>
        <w:tcPr>
          <w:tcW w:w="2934"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Autor posudku:</w:t>
          </w:r>
        </w:p>
      </w:tc>
      <w:tc>
        <w:tcPr>
          <w:tcW w:w="1734" w:type="dxa"/>
        </w:tcPr>
        <w:p w:rsidR="00FD5E95" w:rsidRDefault="00FD5E95">
          <w:pPr>
            <w:pBdr>
              <w:top w:val="nil"/>
              <w:left w:val="nil"/>
              <w:bottom w:val="nil"/>
              <w:right w:val="nil"/>
              <w:between w:val="nil"/>
            </w:pBdr>
            <w:tabs>
              <w:tab w:val="center" w:pos="4536"/>
              <w:tab w:val="right" w:pos="9072"/>
            </w:tabs>
            <w:rPr>
              <w:color w:val="000000"/>
              <w:sz w:val="16"/>
              <w:szCs w:val="16"/>
            </w:rPr>
          </w:pPr>
        </w:p>
      </w:tc>
    </w:tr>
    <w:tr w:rsidR="00FD5E95">
      <w:tc>
        <w:tcPr>
          <w:tcW w:w="3837"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Teologická fakulta</w:t>
          </w:r>
        </w:p>
      </w:tc>
      <w:tc>
        <w:tcPr>
          <w:tcW w:w="2934"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Mgr. František Weis</w:t>
          </w:r>
        </w:p>
      </w:tc>
      <w:tc>
        <w:tcPr>
          <w:tcW w:w="1734"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zasnezeno@seznam.cz</w:t>
          </w:r>
        </w:p>
      </w:tc>
    </w:tr>
    <w:tr w:rsidR="00FD5E95">
      <w:tc>
        <w:tcPr>
          <w:tcW w:w="3837"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Kněžská 8, 370 01 České Budějovice</w:t>
          </w:r>
        </w:p>
      </w:tc>
      <w:tc>
        <w:tcPr>
          <w:tcW w:w="2934"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Katedra KFI</w:t>
          </w:r>
        </w:p>
      </w:tc>
      <w:tc>
        <w:tcPr>
          <w:tcW w:w="1734" w:type="dxa"/>
        </w:tcPr>
        <w:p w:rsidR="00FD5E95" w:rsidRDefault="00461890">
          <w:pPr>
            <w:pBdr>
              <w:top w:val="nil"/>
              <w:left w:val="nil"/>
              <w:bottom w:val="nil"/>
              <w:right w:val="nil"/>
              <w:between w:val="nil"/>
            </w:pBdr>
            <w:tabs>
              <w:tab w:val="center" w:pos="4536"/>
              <w:tab w:val="right" w:pos="9072"/>
            </w:tabs>
            <w:rPr>
              <w:color w:val="000000"/>
              <w:sz w:val="16"/>
              <w:szCs w:val="16"/>
            </w:rPr>
          </w:pPr>
          <w:r>
            <w:rPr>
              <w:color w:val="000000"/>
              <w:sz w:val="16"/>
              <w:szCs w:val="16"/>
            </w:rPr>
            <w:t>www.tf.jcu.cz</w:t>
          </w:r>
        </w:p>
      </w:tc>
    </w:tr>
  </w:tbl>
  <w:p w:rsidR="00FD5E95" w:rsidRDefault="00FD5E95">
    <w:pPr>
      <w:pBdr>
        <w:top w:val="nil"/>
        <w:left w:val="nil"/>
        <w:bottom w:val="nil"/>
        <w:right w:val="nil"/>
        <w:between w:val="nil"/>
      </w:pBdr>
      <w:tabs>
        <w:tab w:val="center" w:pos="4536"/>
        <w:tab w:val="right" w:pos="9072"/>
      </w:tabs>
      <w:spacing w:after="0" w:line="240" w:lineRule="auto"/>
      <w:rPr>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00000" w:rsidRDefault="00461890">
      <w:pPr>
        <w:spacing w:after="0" w:line="240" w:lineRule="auto"/>
      </w:pPr>
      <w:r>
        <w:separator/>
      </w:r>
    </w:p>
  </w:footnote>
  <w:footnote w:type="continuationSeparator" w:id="0">
    <w:p w:rsidR="00000000" w:rsidRDefault="004618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D5E95" w:rsidRDefault="00461890">
    <w:pPr>
      <w:pBdr>
        <w:top w:val="nil"/>
        <w:left w:val="nil"/>
        <w:bottom w:val="nil"/>
        <w:right w:val="nil"/>
        <w:between w:val="nil"/>
      </w:pBdr>
      <w:tabs>
        <w:tab w:val="center" w:pos="4536"/>
        <w:tab w:val="right" w:pos="9072"/>
      </w:tabs>
      <w:spacing w:after="0" w:line="240" w:lineRule="auto"/>
      <w:rPr>
        <w:rFonts w:ascii="Rasa" w:eastAsia="Rasa" w:hAnsi="Rasa" w:cs="Rasa"/>
        <w:color w:val="000000"/>
        <w:sz w:val="8"/>
        <w:szCs w:val="8"/>
      </w:rPr>
    </w:pPr>
    <w:r>
      <w:rPr>
        <w:noProof/>
        <w:color w:val="000000"/>
      </w:rPr>
      <w:drawing>
        <wp:anchor distT="0" distB="0" distL="114300" distR="114300" simplePos="0" relativeHeight="251658240" behindDoc="0" locked="0" layoutInCell="1" hidden="0" allowOverlap="1">
          <wp:simplePos x="0" y="0"/>
          <wp:positionH relativeFrom="margin">
            <wp:posOffset>-791844</wp:posOffset>
          </wp:positionH>
          <wp:positionV relativeFrom="margin">
            <wp:posOffset>-1097914</wp:posOffset>
          </wp:positionV>
          <wp:extent cx="3319200" cy="640800"/>
          <wp:effectExtent l="0" t="0" r="0" b="0"/>
          <wp:wrapSquare wrapText="bothSides" distT="0" distB="0" distL="114300" distR="11430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3319200" cy="640800"/>
                  </a:xfrm>
                  <a:prstGeom prst="rect">
                    <a:avLst/>
                  </a:prstGeom>
                  <a:ln/>
                </pic:spPr>
              </pic:pic>
            </a:graphicData>
          </a:graphic>
        </wp:anchor>
      </w:drawing>
    </w:r>
  </w:p>
  <w:p w:rsidR="00FD5E95" w:rsidRDefault="00FD5E95">
    <w:pPr>
      <w:pBdr>
        <w:top w:val="nil"/>
        <w:left w:val="nil"/>
        <w:bottom w:val="nil"/>
        <w:right w:val="nil"/>
        <w:between w:val="nil"/>
      </w:pBdr>
      <w:tabs>
        <w:tab w:val="center" w:pos="4536"/>
        <w:tab w:val="right" w:pos="9072"/>
        <w:tab w:val="left" w:pos="6294"/>
      </w:tabs>
      <w:spacing w:after="0" w:line="240" w:lineRule="auto"/>
      <w:jc w:val="both"/>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E95"/>
    <w:rsid w:val="00461890"/>
    <w:rsid w:val="00FD5E9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46F5F"/>
  <w15:docId w15:val="{34A32369-F002-4DC7-AC9E-6A4BE5E6F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cs-CZ" w:eastAsia="cs-CZ"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F3963"/>
  </w:style>
  <w:style w:type="paragraph" w:styleId="Nadpis1">
    <w:name w:val="heading 1"/>
    <w:basedOn w:val="Normln"/>
    <w:next w:val="Normln"/>
    <w:uiPriority w:val="9"/>
    <w:qFormat/>
    <w:pPr>
      <w:keepNext/>
      <w:keepLines/>
      <w:spacing w:before="480" w:after="120"/>
      <w:outlineLvl w:val="0"/>
    </w:pPr>
    <w:rPr>
      <w:b/>
      <w:sz w:val="48"/>
      <w:szCs w:val="48"/>
    </w:rPr>
  </w:style>
  <w:style w:type="paragraph" w:styleId="Nadpis2">
    <w:name w:val="heading 2"/>
    <w:basedOn w:val="Normln"/>
    <w:next w:val="Normln"/>
    <w:uiPriority w:val="9"/>
    <w:semiHidden/>
    <w:unhideWhenUsed/>
    <w:qFormat/>
    <w:pPr>
      <w:keepNext/>
      <w:keepLines/>
      <w:spacing w:before="360" w:after="80"/>
      <w:outlineLvl w:val="1"/>
    </w:pPr>
    <w:rPr>
      <w:b/>
      <w:sz w:val="36"/>
      <w:szCs w:val="36"/>
    </w:rPr>
  </w:style>
  <w:style w:type="paragraph" w:styleId="Nadpis3">
    <w:name w:val="heading 3"/>
    <w:basedOn w:val="Normln"/>
    <w:next w:val="Normln"/>
    <w:uiPriority w:val="9"/>
    <w:semiHidden/>
    <w:unhideWhenUsed/>
    <w:qFormat/>
    <w:pPr>
      <w:keepNext/>
      <w:keepLines/>
      <w:spacing w:before="280" w:after="80"/>
      <w:outlineLvl w:val="2"/>
    </w:pPr>
    <w:rPr>
      <w:b/>
      <w:sz w:val="28"/>
      <w:szCs w:val="28"/>
    </w:rPr>
  </w:style>
  <w:style w:type="paragraph" w:styleId="Nadpis4">
    <w:name w:val="heading 4"/>
    <w:basedOn w:val="Normln"/>
    <w:next w:val="Normln"/>
    <w:uiPriority w:val="9"/>
    <w:semiHidden/>
    <w:unhideWhenUsed/>
    <w:qFormat/>
    <w:pPr>
      <w:keepNext/>
      <w:keepLines/>
      <w:spacing w:before="240" w:after="40"/>
      <w:outlineLvl w:val="3"/>
    </w:pPr>
    <w:rPr>
      <w:b/>
      <w:sz w:val="24"/>
      <w:szCs w:val="24"/>
    </w:rPr>
  </w:style>
  <w:style w:type="paragraph" w:styleId="Nadpis5">
    <w:name w:val="heading 5"/>
    <w:basedOn w:val="Normln"/>
    <w:next w:val="Normln"/>
    <w:uiPriority w:val="9"/>
    <w:semiHidden/>
    <w:unhideWhenUsed/>
    <w:qFormat/>
    <w:pPr>
      <w:keepNext/>
      <w:keepLines/>
      <w:spacing w:before="220" w:after="40"/>
      <w:outlineLvl w:val="4"/>
    </w:pPr>
    <w:rPr>
      <w:b/>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uiPriority w:val="10"/>
    <w:qFormat/>
    <w:pPr>
      <w:keepNext/>
      <w:keepLines/>
      <w:spacing w:before="480" w:after="120"/>
    </w:pPr>
    <w:rPr>
      <w:b/>
      <w:sz w:val="72"/>
      <w:szCs w:val="72"/>
    </w:rPr>
  </w:style>
  <w:style w:type="paragraph" w:styleId="Zhlav">
    <w:name w:val="header"/>
    <w:basedOn w:val="Normln"/>
    <w:link w:val="ZhlavChar"/>
    <w:uiPriority w:val="99"/>
    <w:unhideWhenUsed/>
    <w:rsid w:val="004F6ED1"/>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F6ED1"/>
  </w:style>
  <w:style w:type="paragraph" w:styleId="Zpat">
    <w:name w:val="footer"/>
    <w:basedOn w:val="Normln"/>
    <w:link w:val="ZpatChar"/>
    <w:uiPriority w:val="99"/>
    <w:unhideWhenUsed/>
    <w:rsid w:val="004F6ED1"/>
    <w:pPr>
      <w:tabs>
        <w:tab w:val="center" w:pos="4536"/>
        <w:tab w:val="right" w:pos="9072"/>
      </w:tabs>
      <w:spacing w:after="0" w:line="240" w:lineRule="auto"/>
    </w:pPr>
  </w:style>
  <w:style w:type="character" w:customStyle="1" w:styleId="ZpatChar">
    <w:name w:val="Zápatí Char"/>
    <w:basedOn w:val="Standardnpsmoodstavce"/>
    <w:link w:val="Zpat"/>
    <w:uiPriority w:val="99"/>
    <w:rsid w:val="004F6ED1"/>
  </w:style>
  <w:style w:type="paragraph" w:styleId="Textbubliny">
    <w:name w:val="Balloon Text"/>
    <w:basedOn w:val="Normln"/>
    <w:link w:val="TextbublinyChar"/>
    <w:uiPriority w:val="99"/>
    <w:semiHidden/>
    <w:unhideWhenUsed/>
    <w:rsid w:val="00BA086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A086E"/>
    <w:rPr>
      <w:rFonts w:ascii="Tahoma" w:hAnsi="Tahoma" w:cs="Tahoma"/>
      <w:sz w:val="16"/>
      <w:szCs w:val="16"/>
    </w:rPr>
  </w:style>
  <w:style w:type="table" w:styleId="Mkatabulky">
    <w:name w:val="Table Grid"/>
    <w:basedOn w:val="Normlntabulka"/>
    <w:uiPriority w:val="59"/>
    <w:rsid w:val="008F63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4E72D8"/>
    <w:rPr>
      <w:color w:val="0000FF" w:themeColor="hyperlink"/>
      <w:u w:val="single"/>
    </w:rPr>
  </w:style>
  <w:style w:type="paragraph" w:styleId="Odstavecseseznamem">
    <w:name w:val="List Paragraph"/>
    <w:basedOn w:val="Normln"/>
    <w:uiPriority w:val="34"/>
    <w:qFormat/>
    <w:rsid w:val="004C509D"/>
    <w:pPr>
      <w:ind w:left="720"/>
      <w:contextualSpacing/>
    </w:pPr>
    <w:rPr>
      <w:rFonts w:cs="Times New Roman"/>
    </w:rPr>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TIK5Ind8FZJuX7MNCYWyMBqs5CA==">AMUW2mVL/RvJpHX8+O0sUpO9NdXBWTVWjoqt73HNwq5HIr3ucreX2SMY18dwNv54ErghbgEt+7ORMVmzVaVqf/z0eH/d1QCNjPBnJBFGyVg4h6+GcimTLvI=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2317</Words>
  <Characters>13675</Characters>
  <Application>Microsoft Office Word</Application>
  <DocSecurity>0</DocSecurity>
  <Lines>113</Lines>
  <Paragraphs>31</Paragraphs>
  <ScaleCrop>false</ScaleCrop>
  <Company/>
  <LinksUpToDate>false</LinksUpToDate>
  <CharactersWithSpaces>15961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uživatel</dc:creator>
  <cp:lastModifiedBy>Weis František</cp:lastModifiedBy>
  <cp:revision>2</cp:revision>
  <dcterms:created xsi:type="dcterms:W3CDTF">2023-05-07T09:49:00Z</dcterms:created>
  <dcterms:modified xsi:type="dcterms:W3CDTF">2023-05-11T07:06:00Z</dcterms:modified>
</cp:coreProperties>
</file>