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094FB0" w:rsidP="004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POSUDEK </w:t>
      </w:r>
      <w:r w:rsidR="000E1D15" w:rsidRPr="00470F0F">
        <w:rPr>
          <w:rFonts w:asciiTheme="minorHAnsi" w:hAnsiTheme="minorHAnsi" w:cstheme="minorHAnsi"/>
          <w:b/>
          <w:sz w:val="32"/>
        </w:rPr>
        <w:t>DIPLOMOVÉ</w:t>
      </w:r>
      <w:r w:rsidR="00AF045B"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5269F0">
        <w:rPr>
          <w:rFonts w:asciiTheme="minorHAnsi" w:hAnsiTheme="minorHAnsi" w:cstheme="minorHAnsi"/>
          <w:b/>
        </w:rPr>
        <w:t>Autor práce a studijní obor</w:t>
      </w:r>
      <w:r w:rsidR="00F739EF" w:rsidRPr="005269F0">
        <w:rPr>
          <w:rFonts w:asciiTheme="minorHAnsi" w:hAnsiTheme="minorHAnsi" w:cstheme="minorHAnsi"/>
          <w:b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094FB0">
        <w:rPr>
          <w:rFonts w:asciiTheme="minorHAnsi" w:hAnsiTheme="minorHAnsi" w:cstheme="minorHAnsi"/>
        </w:rPr>
        <w:t xml:space="preserve"> Lucie</w:t>
      </w:r>
      <w:r w:rsidR="00FD2DD5">
        <w:rPr>
          <w:rFonts w:asciiTheme="minorHAnsi" w:hAnsiTheme="minorHAnsi" w:cstheme="minorHAnsi"/>
        </w:rPr>
        <w:t xml:space="preserve"> Matějková, </w:t>
      </w:r>
      <w:r w:rsidR="005269F0">
        <w:rPr>
          <w:rFonts w:asciiTheme="minorHAnsi" w:hAnsiTheme="minorHAnsi" w:cstheme="minorHAnsi"/>
        </w:rPr>
        <w:t>D</w:t>
      </w:r>
      <w:r w:rsidR="00FD2DD5">
        <w:rPr>
          <w:rFonts w:asciiTheme="minorHAnsi" w:hAnsiTheme="minorHAnsi" w:cstheme="minorHAnsi"/>
        </w:rPr>
        <w:t>ějiny a filozofie umění</w:t>
      </w:r>
      <w:r w:rsidR="00F739EF" w:rsidRPr="00AE3D3C">
        <w:rPr>
          <w:rFonts w:asciiTheme="minorHAnsi" w:hAnsiTheme="minorHAnsi" w:cstheme="minorHAnsi"/>
        </w:rPr>
        <w:t xml:space="preserve"> </w:t>
      </w:r>
    </w:p>
    <w:p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:rsidR="00AF045B" w:rsidRPr="00AE3D3C" w:rsidRDefault="005269F0" w:rsidP="00F739EF">
      <w:pPr>
        <w:pStyle w:val="Zkladntext"/>
        <w:rPr>
          <w:rFonts w:asciiTheme="minorHAnsi" w:hAnsiTheme="minorHAnsi" w:cstheme="minorHAnsi"/>
        </w:rPr>
      </w:pPr>
      <w:r w:rsidRPr="005269F0">
        <w:rPr>
          <w:rFonts w:asciiTheme="minorHAnsi" w:hAnsiTheme="minorHAnsi" w:cstheme="minorHAnsi"/>
          <w:b/>
        </w:rPr>
        <w:t>Název práce:</w:t>
      </w:r>
      <w:r>
        <w:rPr>
          <w:rFonts w:asciiTheme="minorHAnsi" w:hAnsiTheme="minorHAnsi" w:cstheme="minorHAnsi"/>
        </w:rPr>
        <w:t xml:space="preserve"> </w:t>
      </w:r>
      <w:r w:rsidR="005C3144">
        <w:rPr>
          <w:rFonts w:asciiTheme="minorHAnsi" w:hAnsiTheme="minorHAnsi" w:cstheme="minorHAnsi"/>
        </w:rPr>
        <w:t>Jan Jiří Hering, malíř počínající protireformace</w:t>
      </w:r>
    </w:p>
    <w:p w:rsid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F739EF" w:rsidRPr="00AE3D3C" w:rsidRDefault="00C7631F" w:rsidP="00F739EF">
      <w:pPr>
        <w:rPr>
          <w:rFonts w:asciiTheme="minorHAnsi" w:hAnsiTheme="minorHAnsi" w:cstheme="minorHAnsi"/>
          <w:b/>
          <w:sz w:val="24"/>
        </w:rPr>
      </w:pPr>
      <w:r w:rsidRPr="005269F0">
        <w:rPr>
          <w:rFonts w:asciiTheme="minorHAnsi" w:hAnsiTheme="minorHAnsi" w:cstheme="minorHAnsi"/>
          <w:b/>
          <w:sz w:val="24"/>
          <w:szCs w:val="24"/>
        </w:rPr>
        <w:t>Oponent</w:t>
      </w:r>
      <w:r w:rsidR="00F739EF" w:rsidRPr="005269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EC4" w:rsidRPr="005269F0">
        <w:rPr>
          <w:rFonts w:asciiTheme="minorHAnsi" w:hAnsiTheme="minorHAnsi" w:cstheme="minorHAnsi"/>
          <w:b/>
          <w:sz w:val="24"/>
        </w:rPr>
        <w:t>práce:</w:t>
      </w:r>
      <w:r w:rsidR="001B0EC4" w:rsidRPr="00AE3D3C">
        <w:rPr>
          <w:rFonts w:asciiTheme="minorHAnsi" w:hAnsiTheme="minorHAnsi" w:cstheme="minorHAnsi"/>
          <w:sz w:val="24"/>
        </w:rPr>
        <w:t xml:space="preserve"> </w:t>
      </w:r>
      <w:r w:rsidR="005269F0">
        <w:rPr>
          <w:rFonts w:asciiTheme="minorHAnsi" w:hAnsiTheme="minorHAnsi" w:cstheme="minorHAnsi"/>
          <w:sz w:val="24"/>
        </w:rPr>
        <w:t xml:space="preserve"> PhDr. </w:t>
      </w:r>
      <w:r w:rsidR="00FD2DD5">
        <w:rPr>
          <w:rFonts w:asciiTheme="minorHAnsi" w:hAnsiTheme="minorHAnsi" w:cstheme="minorHAnsi"/>
          <w:sz w:val="24"/>
        </w:rPr>
        <w:t>Kateřina Horníčková</w:t>
      </w:r>
      <w:r w:rsidR="005269F0">
        <w:rPr>
          <w:rFonts w:asciiTheme="minorHAnsi" w:hAnsiTheme="minorHAnsi" w:cstheme="minorHAnsi"/>
          <w:sz w:val="24"/>
        </w:rPr>
        <w:t>, Ph.D.</w:t>
      </w:r>
      <w:r w:rsidR="00F739EF" w:rsidRPr="00AE3D3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</w:p>
    <w:p w:rsidR="00F739EF" w:rsidRPr="00AE3D3C" w:rsidRDefault="00FD2DD5" w:rsidP="005C3144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Lucie Matějková si </w:t>
      </w:r>
      <w:r w:rsidR="00F1786B">
        <w:rPr>
          <w:rFonts w:asciiTheme="minorHAnsi" w:hAnsiTheme="minorHAnsi" w:cstheme="minorHAnsi"/>
          <w:sz w:val="24"/>
        </w:rPr>
        <w:t xml:space="preserve">pro svoji magisterskou práci </w:t>
      </w:r>
      <w:r>
        <w:rPr>
          <w:rFonts w:asciiTheme="minorHAnsi" w:hAnsiTheme="minorHAnsi" w:cstheme="minorHAnsi"/>
          <w:sz w:val="24"/>
        </w:rPr>
        <w:t xml:space="preserve">vybrala </w:t>
      </w:r>
      <w:r w:rsidR="005C3144">
        <w:rPr>
          <w:rFonts w:asciiTheme="minorHAnsi" w:hAnsiTheme="minorHAnsi" w:cstheme="minorHAnsi"/>
          <w:sz w:val="24"/>
        </w:rPr>
        <w:t xml:space="preserve">velmi </w:t>
      </w:r>
      <w:r w:rsidR="00F1786B">
        <w:rPr>
          <w:rFonts w:asciiTheme="minorHAnsi" w:hAnsiTheme="minorHAnsi" w:cstheme="minorHAnsi"/>
          <w:sz w:val="24"/>
        </w:rPr>
        <w:t>náročné téma</w:t>
      </w:r>
      <w:r w:rsidR="005C3144">
        <w:rPr>
          <w:rFonts w:asciiTheme="minorHAnsi" w:hAnsiTheme="minorHAnsi" w:cstheme="minorHAnsi"/>
          <w:sz w:val="24"/>
        </w:rPr>
        <w:t xml:space="preserve"> jedné z prvních osobností nástupu protireformace ve 20. a 30tých letech 17. století</w:t>
      </w:r>
      <w:r w:rsidR="00F1786B">
        <w:rPr>
          <w:rFonts w:asciiTheme="minorHAnsi" w:hAnsiTheme="minorHAnsi" w:cstheme="minorHAnsi"/>
          <w:sz w:val="24"/>
        </w:rPr>
        <w:t xml:space="preserve">. </w:t>
      </w:r>
      <w:r w:rsidR="007B1DDB">
        <w:rPr>
          <w:rFonts w:asciiTheme="minorHAnsi" w:hAnsiTheme="minorHAnsi" w:cstheme="minorHAnsi"/>
          <w:sz w:val="24"/>
        </w:rPr>
        <w:t xml:space="preserve">Vzala si za úkol </w:t>
      </w:r>
      <w:r w:rsidR="005C3144">
        <w:rPr>
          <w:rFonts w:asciiTheme="minorHAnsi" w:hAnsiTheme="minorHAnsi" w:cstheme="minorHAnsi"/>
          <w:sz w:val="24"/>
        </w:rPr>
        <w:t>vykreslení formování výtvarného jazyka počínající protireformace</w:t>
      </w:r>
      <w:r w:rsidR="007B1DDB">
        <w:rPr>
          <w:rFonts w:asciiTheme="minorHAnsi" w:hAnsiTheme="minorHAnsi" w:cstheme="minorHAnsi"/>
          <w:sz w:val="24"/>
        </w:rPr>
        <w:t xml:space="preserve">, popsání </w:t>
      </w:r>
      <w:r w:rsidR="005C3144">
        <w:rPr>
          <w:rFonts w:asciiTheme="minorHAnsi" w:hAnsiTheme="minorHAnsi" w:cstheme="minorHAnsi"/>
          <w:sz w:val="24"/>
        </w:rPr>
        <w:t>charakteristických postupů ve vztahu k</w:t>
      </w:r>
      <w:r w:rsidR="003F6450">
        <w:rPr>
          <w:rFonts w:asciiTheme="minorHAnsi" w:hAnsiTheme="minorHAnsi" w:cstheme="minorHAnsi"/>
          <w:sz w:val="24"/>
        </w:rPr>
        <w:t> </w:t>
      </w:r>
      <w:r w:rsidR="005C3144">
        <w:rPr>
          <w:rFonts w:asciiTheme="minorHAnsi" w:hAnsiTheme="minorHAnsi" w:cstheme="minorHAnsi"/>
          <w:sz w:val="24"/>
        </w:rPr>
        <w:t>dan</w:t>
      </w:r>
      <w:r w:rsidR="003F6450">
        <w:rPr>
          <w:rFonts w:asciiTheme="minorHAnsi" w:hAnsiTheme="minorHAnsi" w:cstheme="minorHAnsi"/>
          <w:sz w:val="24"/>
        </w:rPr>
        <w:t xml:space="preserve">ému </w:t>
      </w:r>
      <w:r w:rsidR="005C3144">
        <w:rPr>
          <w:rFonts w:asciiTheme="minorHAnsi" w:hAnsiTheme="minorHAnsi" w:cstheme="minorHAnsi"/>
          <w:sz w:val="24"/>
        </w:rPr>
        <w:t xml:space="preserve">zadání a zhodnocení role </w:t>
      </w:r>
      <w:r w:rsidR="003F6450">
        <w:rPr>
          <w:rFonts w:asciiTheme="minorHAnsi" w:hAnsiTheme="minorHAnsi" w:cstheme="minorHAnsi"/>
          <w:sz w:val="24"/>
        </w:rPr>
        <w:t>malíře</w:t>
      </w:r>
      <w:r w:rsidR="005C3144">
        <w:rPr>
          <w:rFonts w:asciiTheme="minorHAnsi" w:hAnsiTheme="minorHAnsi" w:cstheme="minorHAnsi"/>
          <w:sz w:val="24"/>
        </w:rPr>
        <w:t xml:space="preserve"> v zápasu o podobu protireformačního náboženského obrazu na pozadí náboženského konfliktu.  </w:t>
      </w:r>
    </w:p>
    <w:p w:rsidR="007B1DDB" w:rsidRDefault="005C3144" w:rsidP="007B1DD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Nutno říci, že </w:t>
      </w:r>
      <w:r w:rsidR="007B1DDB">
        <w:rPr>
          <w:rFonts w:asciiTheme="minorHAnsi" w:hAnsiTheme="minorHAnsi" w:cstheme="minorHAnsi"/>
          <w:sz w:val="24"/>
        </w:rPr>
        <w:t xml:space="preserve">náročný úkol zvládla autorka jen zčásti. Ačkoliv lze pochopit, že </w:t>
      </w:r>
      <w:r w:rsidR="003F6450">
        <w:rPr>
          <w:rFonts w:asciiTheme="minorHAnsi" w:hAnsiTheme="minorHAnsi" w:cstheme="minorHAnsi"/>
          <w:sz w:val="24"/>
        </w:rPr>
        <w:t xml:space="preserve">u takto definovaného </w:t>
      </w:r>
      <w:r w:rsidR="007B1DDB">
        <w:rPr>
          <w:rFonts w:asciiTheme="minorHAnsi" w:hAnsiTheme="minorHAnsi" w:cstheme="minorHAnsi"/>
          <w:sz w:val="24"/>
        </w:rPr>
        <w:t xml:space="preserve">rámce je třeba osvětlit pozadí náboženského konfliktu v Čechách </w:t>
      </w:r>
      <w:r w:rsidR="003F6450">
        <w:rPr>
          <w:rFonts w:asciiTheme="minorHAnsi" w:hAnsiTheme="minorHAnsi" w:cstheme="minorHAnsi"/>
          <w:sz w:val="24"/>
        </w:rPr>
        <w:t>blíže</w:t>
      </w:r>
      <w:r w:rsidR="007B1DDB">
        <w:rPr>
          <w:rFonts w:asciiTheme="minorHAnsi" w:hAnsiTheme="minorHAnsi" w:cstheme="minorHAnsi"/>
          <w:sz w:val="24"/>
        </w:rPr>
        <w:t xml:space="preserve">, už při letmém pohledu na obsah práce zarazí, jak velkou část autorka věnovala právě obecnému rámci vztahu reformace a protireformace oproti vlastnímu zájmu o </w:t>
      </w:r>
      <w:r w:rsidR="00880EB3">
        <w:rPr>
          <w:rFonts w:asciiTheme="minorHAnsi" w:hAnsiTheme="minorHAnsi" w:cstheme="minorHAnsi"/>
          <w:sz w:val="24"/>
        </w:rPr>
        <w:t>o</w:t>
      </w:r>
      <w:r w:rsidR="007B1DDB">
        <w:rPr>
          <w:rFonts w:asciiTheme="minorHAnsi" w:hAnsiTheme="minorHAnsi" w:cstheme="minorHAnsi"/>
          <w:sz w:val="24"/>
        </w:rPr>
        <w:t>sobnost malíře Heringa.  K němu se dostane autorka až na s. 37, přičemž vlastní text práce končí s. 73. To ponechalo autorce pouze 35 stran na zpracování a vysvětlení složitého fenoménu rodícího se jazyka protireformace, jehož je Hering ztělesněním, včetně popisů a srovnání vybraných děl. Příliš rozevlátou</w:t>
      </w:r>
      <w:r w:rsidR="00557117">
        <w:rPr>
          <w:rFonts w:asciiTheme="minorHAnsi" w:hAnsiTheme="minorHAnsi" w:cstheme="minorHAnsi"/>
          <w:sz w:val="24"/>
        </w:rPr>
        <w:t>,</w:t>
      </w:r>
      <w:r w:rsidR="00880EB3">
        <w:rPr>
          <w:rFonts w:asciiTheme="minorHAnsi" w:hAnsiTheme="minorHAnsi" w:cstheme="minorHAnsi"/>
          <w:sz w:val="24"/>
        </w:rPr>
        <w:t xml:space="preserve"> až zbytečně k specifickým problémům odbíhající úvodní částí (kap. 1-4), kde </w:t>
      </w:r>
      <w:r w:rsidR="008000A3">
        <w:rPr>
          <w:rFonts w:asciiTheme="minorHAnsi" w:hAnsiTheme="minorHAnsi" w:cstheme="minorHAnsi"/>
          <w:sz w:val="24"/>
        </w:rPr>
        <w:t xml:space="preserve">vzhledem k šíři problému </w:t>
      </w:r>
      <w:r w:rsidR="00880EB3">
        <w:rPr>
          <w:rFonts w:asciiTheme="minorHAnsi" w:hAnsiTheme="minorHAnsi" w:cstheme="minorHAnsi"/>
          <w:sz w:val="24"/>
        </w:rPr>
        <w:t xml:space="preserve">nutně zůstává na povrchu, </w:t>
      </w:r>
      <w:r w:rsidR="007B1DDB">
        <w:rPr>
          <w:rFonts w:asciiTheme="minorHAnsi" w:hAnsiTheme="minorHAnsi" w:cstheme="minorHAnsi"/>
          <w:sz w:val="24"/>
        </w:rPr>
        <w:t xml:space="preserve">se tak dostala do časové tísně, kdy jí již zřejmě nezbylo času a sil druhou – dle mého názoru důležitější – část odpovídajícím způsobem rozvinout. </w:t>
      </w:r>
      <w:r w:rsidR="00880EB3">
        <w:rPr>
          <w:rFonts w:asciiTheme="minorHAnsi" w:hAnsiTheme="minorHAnsi" w:cstheme="minorHAnsi"/>
          <w:sz w:val="24"/>
        </w:rPr>
        <w:t xml:space="preserve">Obě části tak nepůsobí příliš souvisle. Oceňuji zde však její snahu o </w:t>
      </w:r>
      <w:r w:rsidR="00880EB3">
        <w:rPr>
          <w:rFonts w:asciiTheme="minorHAnsi" w:hAnsiTheme="minorHAnsi" w:cstheme="minorHAnsi"/>
          <w:sz w:val="24"/>
        </w:rPr>
        <w:lastRenderedPageBreak/>
        <w:t>metodologicky poučený přístup</w:t>
      </w:r>
      <w:r w:rsidR="008000A3">
        <w:rPr>
          <w:rFonts w:asciiTheme="minorHAnsi" w:hAnsiTheme="minorHAnsi" w:cstheme="minorHAnsi"/>
          <w:sz w:val="24"/>
        </w:rPr>
        <w:t xml:space="preserve"> </w:t>
      </w:r>
      <w:r w:rsidR="00557117">
        <w:rPr>
          <w:rFonts w:asciiTheme="minorHAnsi" w:hAnsiTheme="minorHAnsi" w:cstheme="minorHAnsi"/>
          <w:sz w:val="24"/>
        </w:rPr>
        <w:t>(</w:t>
      </w:r>
      <w:r w:rsidR="008000A3">
        <w:rPr>
          <w:rFonts w:asciiTheme="minorHAnsi" w:hAnsiTheme="minorHAnsi" w:cstheme="minorHAnsi"/>
          <w:sz w:val="24"/>
        </w:rPr>
        <w:t>i když úvahy o biografii dle mého názoru v tomto případě nejsou na místě</w:t>
      </w:r>
      <w:r w:rsidR="00557117">
        <w:rPr>
          <w:rFonts w:asciiTheme="minorHAnsi" w:hAnsiTheme="minorHAnsi" w:cstheme="minorHAnsi"/>
          <w:sz w:val="24"/>
        </w:rPr>
        <w:t>)</w:t>
      </w:r>
      <w:r w:rsidR="00880EB3">
        <w:rPr>
          <w:rFonts w:asciiTheme="minorHAnsi" w:hAnsiTheme="minorHAnsi" w:cstheme="minorHAnsi"/>
          <w:sz w:val="24"/>
        </w:rPr>
        <w:t xml:space="preserve">. </w:t>
      </w:r>
    </w:p>
    <w:p w:rsidR="00F739EF" w:rsidRDefault="00880EB3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Autorka se snažila</w:t>
      </w:r>
      <w:r w:rsidR="007B1DDB">
        <w:rPr>
          <w:rFonts w:asciiTheme="minorHAnsi" w:hAnsiTheme="minorHAnsi" w:cstheme="minorHAnsi"/>
          <w:sz w:val="24"/>
        </w:rPr>
        <w:t xml:space="preserve"> vyřeš</w:t>
      </w:r>
      <w:r>
        <w:rPr>
          <w:rFonts w:asciiTheme="minorHAnsi" w:hAnsiTheme="minorHAnsi" w:cstheme="minorHAnsi"/>
          <w:sz w:val="24"/>
        </w:rPr>
        <w:t>it nedostatek času</w:t>
      </w:r>
      <w:r w:rsidR="007B1DDB">
        <w:rPr>
          <w:rFonts w:asciiTheme="minorHAnsi" w:hAnsiTheme="minorHAnsi" w:cstheme="minorHAnsi"/>
          <w:sz w:val="24"/>
        </w:rPr>
        <w:t xml:space="preserve"> výběrem jednoho většího souboru obrazů a dvou dalších významných děl, na něž se zaměřila. Zde se projevily její </w:t>
      </w:r>
      <w:r>
        <w:rPr>
          <w:rFonts w:asciiTheme="minorHAnsi" w:hAnsiTheme="minorHAnsi" w:cstheme="minorHAnsi"/>
          <w:sz w:val="24"/>
        </w:rPr>
        <w:t xml:space="preserve">vlastní </w:t>
      </w:r>
      <w:r w:rsidR="007B1DDB">
        <w:rPr>
          <w:rFonts w:asciiTheme="minorHAnsi" w:hAnsiTheme="minorHAnsi" w:cstheme="minorHAnsi"/>
          <w:sz w:val="24"/>
        </w:rPr>
        <w:t xml:space="preserve">schopnosti </w:t>
      </w:r>
      <w:r>
        <w:rPr>
          <w:rFonts w:asciiTheme="minorHAnsi" w:hAnsiTheme="minorHAnsi" w:cstheme="minorHAnsi"/>
          <w:sz w:val="24"/>
        </w:rPr>
        <w:t xml:space="preserve">nejvíce, zatímco v první části se projevuje až přílišná závislost na zvolené koncepci práce, a tím i omezená volba zdrojů. </w:t>
      </w:r>
      <w:r w:rsidR="008000A3">
        <w:rPr>
          <w:rFonts w:asciiTheme="minorHAnsi" w:hAnsiTheme="minorHAnsi" w:cstheme="minorHAnsi"/>
          <w:sz w:val="24"/>
        </w:rPr>
        <w:t>To je závažný problém práce, vede i ke</w:t>
      </w:r>
      <w:r w:rsidR="00FD2DD5">
        <w:rPr>
          <w:rFonts w:asciiTheme="minorHAnsi" w:hAnsiTheme="minorHAnsi" w:cstheme="minorHAnsi"/>
          <w:sz w:val="24"/>
        </w:rPr>
        <w:t xml:space="preserve"> zřeteln</w:t>
      </w:r>
      <w:r w:rsidR="008000A3">
        <w:rPr>
          <w:rFonts w:asciiTheme="minorHAnsi" w:hAnsiTheme="minorHAnsi" w:cstheme="minorHAnsi"/>
          <w:sz w:val="24"/>
        </w:rPr>
        <w:t>é</w:t>
      </w:r>
      <w:r w:rsidR="00FD2DD5">
        <w:rPr>
          <w:rFonts w:asciiTheme="minorHAnsi" w:hAnsiTheme="minorHAnsi" w:cstheme="minorHAnsi"/>
          <w:sz w:val="24"/>
        </w:rPr>
        <w:t xml:space="preserve"> závislost</w:t>
      </w:r>
      <w:r w:rsidR="008000A3">
        <w:rPr>
          <w:rFonts w:asciiTheme="minorHAnsi" w:hAnsiTheme="minorHAnsi" w:cstheme="minorHAnsi"/>
          <w:sz w:val="24"/>
        </w:rPr>
        <w:t>i</w:t>
      </w:r>
      <w:r w:rsidR="00FD2DD5">
        <w:rPr>
          <w:rFonts w:asciiTheme="minorHAnsi" w:hAnsiTheme="minorHAnsi" w:cstheme="minorHAnsi"/>
          <w:sz w:val="24"/>
        </w:rPr>
        <w:t xml:space="preserve"> autorky na názorech školitele. Jeho přístup si neproblematizuje, je</w:t>
      </w:r>
      <w:r>
        <w:rPr>
          <w:rFonts w:asciiTheme="minorHAnsi" w:hAnsiTheme="minorHAnsi" w:cstheme="minorHAnsi"/>
          <w:sz w:val="24"/>
        </w:rPr>
        <w:t>jí práce je tak</w:t>
      </w:r>
      <w:r w:rsidR="008000A3">
        <w:rPr>
          <w:rFonts w:asciiTheme="minorHAnsi" w:hAnsiTheme="minorHAnsi" w:cstheme="minorHAnsi"/>
          <w:sz w:val="24"/>
        </w:rPr>
        <w:t xml:space="preserve"> spíše</w:t>
      </w:r>
      <w:r w:rsidR="00FD2DD5">
        <w:rPr>
          <w:rFonts w:asciiTheme="minorHAnsi" w:hAnsiTheme="minorHAnsi" w:cstheme="minorHAnsi"/>
          <w:sz w:val="24"/>
        </w:rPr>
        <w:t xml:space="preserve"> </w:t>
      </w:r>
      <w:r w:rsidR="008000A3">
        <w:rPr>
          <w:rFonts w:asciiTheme="minorHAnsi" w:hAnsiTheme="minorHAnsi" w:cstheme="minorHAnsi"/>
          <w:sz w:val="24"/>
        </w:rPr>
        <w:t xml:space="preserve">přímou </w:t>
      </w:r>
      <w:r w:rsidR="00FD2DD5">
        <w:rPr>
          <w:rFonts w:asciiTheme="minorHAnsi" w:hAnsiTheme="minorHAnsi" w:cstheme="minorHAnsi"/>
          <w:sz w:val="24"/>
        </w:rPr>
        <w:t>aplikací konfesní</w:t>
      </w:r>
      <w:r>
        <w:rPr>
          <w:rFonts w:asciiTheme="minorHAnsi" w:hAnsiTheme="minorHAnsi" w:cstheme="minorHAnsi"/>
          <w:sz w:val="24"/>
        </w:rPr>
        <w:t xml:space="preserve"> interpretace</w:t>
      </w:r>
      <w:r w:rsidR="00FD2DD5">
        <w:rPr>
          <w:rFonts w:asciiTheme="minorHAnsi" w:hAnsiTheme="minorHAnsi" w:cstheme="minorHAnsi"/>
          <w:sz w:val="24"/>
        </w:rPr>
        <w:t xml:space="preserve"> a </w:t>
      </w:r>
      <w:r w:rsidR="008000A3">
        <w:rPr>
          <w:rFonts w:asciiTheme="minorHAnsi" w:hAnsiTheme="minorHAnsi" w:cstheme="minorHAnsi"/>
          <w:sz w:val="24"/>
        </w:rPr>
        <w:t>snahou potvrdit dané schéma než vlastním hledáním protireformačního vizuálního jazyka v přímé konfrontaci s díly</w:t>
      </w:r>
      <w:r>
        <w:rPr>
          <w:rFonts w:asciiTheme="minorHAnsi" w:hAnsiTheme="minorHAnsi" w:cstheme="minorHAnsi"/>
          <w:sz w:val="24"/>
        </w:rPr>
        <w:t>.</w:t>
      </w:r>
      <w:r w:rsidR="008000A3">
        <w:rPr>
          <w:rFonts w:asciiTheme="minorHAnsi" w:hAnsiTheme="minorHAnsi" w:cstheme="minorHAnsi"/>
          <w:sz w:val="24"/>
        </w:rPr>
        <w:t xml:space="preserve"> Autorka užívá téměř výhradně novější literaturu, kterou až nadmíru vytěžuje</w:t>
      </w:r>
      <w:r w:rsidR="00494209" w:rsidRPr="00494209">
        <w:rPr>
          <w:rFonts w:asciiTheme="minorHAnsi" w:hAnsiTheme="minorHAnsi" w:cstheme="minorHAnsi"/>
          <w:sz w:val="24"/>
        </w:rPr>
        <w:t xml:space="preserve"> </w:t>
      </w:r>
      <w:r w:rsidR="00494209">
        <w:rPr>
          <w:rFonts w:asciiTheme="minorHAnsi" w:hAnsiTheme="minorHAnsi" w:cstheme="minorHAnsi"/>
          <w:sz w:val="24"/>
        </w:rPr>
        <w:t>a přebírá z ní veškeré pramenné informace</w:t>
      </w:r>
      <w:r w:rsidR="008000A3">
        <w:rPr>
          <w:rFonts w:asciiTheme="minorHAnsi" w:hAnsiTheme="minorHAnsi" w:cstheme="minorHAnsi"/>
          <w:sz w:val="24"/>
        </w:rPr>
        <w:t>, prameny neověřuje a často neuvádí přesné citace, což může znamenat, že informace převzala druhotně a nekriticky. Vedle prací školitele vytěžuje pro základní údaje o Heringově díle zejména práci M. Opatrné</w:t>
      </w:r>
      <w:r w:rsidR="00494209">
        <w:rPr>
          <w:rFonts w:asciiTheme="minorHAnsi" w:hAnsiTheme="minorHAnsi" w:cstheme="minorHAnsi"/>
          <w:sz w:val="24"/>
        </w:rPr>
        <w:t xml:space="preserve"> – po odečtení informací převza</w:t>
      </w:r>
      <w:r w:rsidR="003F6450">
        <w:rPr>
          <w:rFonts w:asciiTheme="minorHAnsi" w:hAnsiTheme="minorHAnsi" w:cstheme="minorHAnsi"/>
          <w:sz w:val="24"/>
        </w:rPr>
        <w:t>t</w:t>
      </w:r>
      <w:r w:rsidR="00494209">
        <w:rPr>
          <w:rFonts w:asciiTheme="minorHAnsi" w:hAnsiTheme="minorHAnsi" w:cstheme="minorHAnsi"/>
          <w:sz w:val="24"/>
        </w:rPr>
        <w:t>ých od ní a od školitele není zcela jasné</w:t>
      </w:r>
      <w:r w:rsidR="008000A3">
        <w:rPr>
          <w:rFonts w:asciiTheme="minorHAnsi" w:hAnsiTheme="minorHAnsi" w:cstheme="minorHAnsi"/>
          <w:sz w:val="24"/>
        </w:rPr>
        <w:t xml:space="preserve">, co je vlastním původním přínosem </w:t>
      </w:r>
      <w:r w:rsidR="00494209">
        <w:rPr>
          <w:rFonts w:asciiTheme="minorHAnsi" w:hAnsiTheme="minorHAnsi" w:cstheme="minorHAnsi"/>
          <w:sz w:val="24"/>
        </w:rPr>
        <w:t xml:space="preserve">autorky. </w:t>
      </w:r>
      <w:r>
        <w:rPr>
          <w:rFonts w:asciiTheme="minorHAnsi" w:hAnsiTheme="minorHAnsi" w:cstheme="minorHAnsi"/>
          <w:sz w:val="24"/>
        </w:rPr>
        <w:t xml:space="preserve"> </w:t>
      </w:r>
      <w:r w:rsidR="00FD2DD5">
        <w:rPr>
          <w:rFonts w:asciiTheme="minorHAnsi" w:hAnsiTheme="minorHAnsi" w:cstheme="minorHAnsi"/>
          <w:sz w:val="24"/>
        </w:rPr>
        <w:t xml:space="preserve"> </w:t>
      </w:r>
    </w:p>
    <w:p w:rsidR="00494209" w:rsidRDefault="00494209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Autorce je možné vytknout i další nedostatky - např. ignorování textů na obrazech cyklu sv. Norberta a jejich význam propojit s interpretací scén, </w:t>
      </w:r>
      <w:r w:rsidR="00557117">
        <w:rPr>
          <w:rFonts w:asciiTheme="minorHAnsi" w:hAnsiTheme="minorHAnsi" w:cstheme="minorHAnsi"/>
          <w:sz w:val="24"/>
        </w:rPr>
        <w:t xml:space="preserve">větší vytěžení restaurátorských informací, </w:t>
      </w:r>
      <w:r>
        <w:rPr>
          <w:rFonts w:asciiTheme="minorHAnsi" w:hAnsiTheme="minorHAnsi" w:cstheme="minorHAnsi"/>
          <w:sz w:val="24"/>
        </w:rPr>
        <w:t xml:space="preserve">občasné překlepy, a hlavně nedostatek přesnosti v citacích. To vše je zřejmě výsledkem </w:t>
      </w:r>
      <w:r w:rsidR="00557117">
        <w:rPr>
          <w:rFonts w:asciiTheme="minorHAnsi" w:hAnsiTheme="minorHAnsi" w:cstheme="minorHAnsi"/>
          <w:sz w:val="24"/>
        </w:rPr>
        <w:t xml:space="preserve">její </w:t>
      </w:r>
      <w:r>
        <w:rPr>
          <w:rFonts w:asciiTheme="minorHAnsi" w:hAnsiTheme="minorHAnsi" w:cstheme="minorHAnsi"/>
          <w:sz w:val="24"/>
        </w:rPr>
        <w:t xml:space="preserve">uspěchanosti.  </w:t>
      </w:r>
    </w:p>
    <w:p w:rsidR="00FD2DD5" w:rsidRPr="00AE3D3C" w:rsidRDefault="00494209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Jako pozitivní bych na druhou stranu uvedla snahu pochopit úhel pohledu a aplikovat jej na základě podrobného rozboru děl (to se jí nejlépe povedlo u svatonorbertovského cyklu, který tvoří nepřínosnější část práce, mj. i pro dílčí ikonografická zjištění) a v neposlední řadě schopnost napsat nadprůměrně vyzrálý text. </w:t>
      </w:r>
      <w:r w:rsidR="00557117">
        <w:rPr>
          <w:rFonts w:asciiTheme="minorHAnsi" w:hAnsiTheme="minorHAnsi" w:cstheme="minorHAnsi"/>
          <w:sz w:val="24"/>
        </w:rPr>
        <w:t>To ale ne</w:t>
      </w:r>
      <w:r>
        <w:rPr>
          <w:rFonts w:asciiTheme="minorHAnsi" w:hAnsiTheme="minorHAnsi" w:cstheme="minorHAnsi"/>
          <w:sz w:val="24"/>
        </w:rPr>
        <w:t xml:space="preserve">zakryje jistou povrchnost </w:t>
      </w:r>
      <w:r w:rsidR="00557117">
        <w:rPr>
          <w:rFonts w:asciiTheme="minorHAnsi" w:hAnsiTheme="minorHAnsi" w:cstheme="minorHAnsi"/>
          <w:sz w:val="24"/>
        </w:rPr>
        <w:t xml:space="preserve">a závislost na zdrojích </w:t>
      </w:r>
      <w:r>
        <w:rPr>
          <w:rFonts w:asciiTheme="minorHAnsi" w:hAnsiTheme="minorHAnsi" w:cstheme="minorHAnsi"/>
          <w:sz w:val="24"/>
        </w:rPr>
        <w:t>větší části textu.</w:t>
      </w:r>
    </w:p>
    <w:p w:rsidR="00F739EF" w:rsidRPr="00AE3D3C" w:rsidRDefault="003F6450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Musím říci, že po delší úvaze a po určitých pochybách</w:t>
      </w:r>
      <w:r w:rsidR="00557117">
        <w:rPr>
          <w:rFonts w:asciiTheme="minorHAnsi" w:hAnsiTheme="minorHAnsi" w:cstheme="minorHAnsi"/>
          <w:sz w:val="24"/>
        </w:rPr>
        <w:t>, podnícených mj. i tím, že se mi úkol jevil jako příliš náročný,</w:t>
      </w:r>
      <w:r>
        <w:rPr>
          <w:rFonts w:asciiTheme="minorHAnsi" w:hAnsiTheme="minorHAnsi" w:cstheme="minorHAnsi"/>
          <w:sz w:val="24"/>
        </w:rPr>
        <w:t xml:space="preserve"> přesto doporučuji práci k</w:t>
      </w:r>
      <w:r w:rsidR="00557117">
        <w:rPr>
          <w:rFonts w:asciiTheme="minorHAnsi" w:hAnsiTheme="minorHAnsi" w:cstheme="minorHAnsi"/>
          <w:sz w:val="24"/>
        </w:rPr>
        <w:t> </w:t>
      </w:r>
      <w:r>
        <w:rPr>
          <w:rFonts w:asciiTheme="minorHAnsi" w:hAnsiTheme="minorHAnsi" w:cstheme="minorHAnsi"/>
          <w:sz w:val="24"/>
        </w:rPr>
        <w:t>obhajobě</w:t>
      </w:r>
      <w:r w:rsidR="00557117">
        <w:rPr>
          <w:rFonts w:asciiTheme="minorHAnsi" w:hAnsiTheme="minorHAnsi" w:cstheme="minorHAnsi"/>
          <w:sz w:val="24"/>
        </w:rPr>
        <w:t>. P</w:t>
      </w:r>
      <w:r>
        <w:rPr>
          <w:rFonts w:asciiTheme="minorHAnsi" w:hAnsiTheme="minorHAnsi" w:cstheme="minorHAnsi"/>
          <w:sz w:val="24"/>
        </w:rPr>
        <w:t xml:space="preserve">ři ní autorka </w:t>
      </w:r>
      <w:r w:rsidR="00557117">
        <w:rPr>
          <w:rFonts w:asciiTheme="minorHAnsi" w:hAnsiTheme="minorHAnsi" w:cstheme="minorHAnsi"/>
          <w:sz w:val="24"/>
        </w:rPr>
        <w:t xml:space="preserve">bude muset </w:t>
      </w:r>
      <w:r>
        <w:rPr>
          <w:rFonts w:asciiTheme="minorHAnsi" w:hAnsiTheme="minorHAnsi" w:cstheme="minorHAnsi"/>
          <w:sz w:val="24"/>
        </w:rPr>
        <w:t>přesně rozliš</w:t>
      </w:r>
      <w:r w:rsidR="00557117">
        <w:rPr>
          <w:rFonts w:asciiTheme="minorHAnsi" w:hAnsiTheme="minorHAnsi" w:cstheme="minorHAnsi"/>
          <w:sz w:val="24"/>
        </w:rPr>
        <w:t>it</w:t>
      </w:r>
      <w:r>
        <w:rPr>
          <w:rFonts w:asciiTheme="minorHAnsi" w:hAnsiTheme="minorHAnsi" w:cstheme="minorHAnsi"/>
          <w:sz w:val="24"/>
        </w:rPr>
        <w:t xml:space="preserve"> vlastní podíl na výzkumu oproti oběma výše uvedeným hlavním zdrojům a prokáže, že se od nich umí odpoutat. Dalším podnětem k obhajobě mohou být jednak texty na obrazech cyklu sv. Norberta a jejich podíl na interpretaci cyklu a jednak pokus o jasnou charakteristiku raného protireformačního obrazového projevu. Co v jeho malbě činí Heringa tak zajímavého pro první objednavatelskou vrstvu protireformace?   </w:t>
      </w:r>
    </w:p>
    <w:p w:rsidR="00F739EF" w:rsidRPr="00AE3D3C" w:rsidRDefault="00CD6B3C" w:rsidP="00F739EF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5269F0" w:rsidRDefault="005269F0" w:rsidP="00F739EF">
      <w:pPr>
        <w:pStyle w:val="Zkladntext"/>
        <w:rPr>
          <w:rFonts w:asciiTheme="minorHAnsi" w:hAnsiTheme="minorHAnsi" w:cstheme="minorHAnsi"/>
          <w:b/>
        </w:rPr>
      </w:pPr>
    </w:p>
    <w:p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Navrhovaná klasifikace</w:t>
      </w:r>
      <w:r w:rsidR="00F739EF" w:rsidRPr="00AF045B">
        <w:rPr>
          <w:rFonts w:asciiTheme="minorHAnsi" w:hAnsiTheme="minorHAnsi" w:cstheme="minorHAnsi"/>
          <w:b/>
        </w:rPr>
        <w:t>:</w:t>
      </w:r>
      <w:r w:rsidR="005269F0">
        <w:rPr>
          <w:rFonts w:asciiTheme="minorHAnsi" w:hAnsiTheme="minorHAnsi" w:cstheme="minorHAnsi"/>
          <w:b/>
        </w:rPr>
        <w:t xml:space="preserve"> </w:t>
      </w:r>
      <w:bookmarkStart w:id="0" w:name="_GoBack"/>
      <w:bookmarkEnd w:id="0"/>
      <w:r w:rsidR="00494209">
        <w:rPr>
          <w:rFonts w:asciiTheme="minorHAnsi" w:hAnsiTheme="minorHAnsi" w:cstheme="minorHAnsi"/>
        </w:rPr>
        <w:t>dobře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5269F0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5269F0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2228850" cy="742097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26" cy="75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5269F0">
        <w:rPr>
          <w:rFonts w:asciiTheme="minorHAnsi" w:hAnsiTheme="minorHAnsi" w:cstheme="minorHAnsi"/>
          <w:sz w:val="24"/>
        </w:rPr>
        <w:t xml:space="preserve">      </w:t>
      </w:r>
      <w:r w:rsidRPr="00AE3D3C">
        <w:rPr>
          <w:rFonts w:asciiTheme="minorHAnsi" w:hAnsiTheme="minorHAnsi" w:cstheme="minorHAnsi"/>
          <w:sz w:val="24"/>
        </w:rPr>
        <w:t xml:space="preserve">podpis </w:t>
      </w:r>
      <w:r w:rsidR="00C7631F">
        <w:rPr>
          <w:rFonts w:asciiTheme="minorHAnsi" w:hAnsiTheme="minorHAnsi" w:cstheme="minorHAnsi"/>
          <w:sz w:val="24"/>
        </w:rPr>
        <w:t>oponenta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>dne</w:t>
      </w:r>
      <w:r w:rsidR="005269F0">
        <w:rPr>
          <w:rFonts w:asciiTheme="minorHAnsi" w:hAnsiTheme="minorHAnsi" w:cstheme="minorHAnsi"/>
          <w:sz w:val="24"/>
        </w:rPr>
        <w:t xml:space="preserve"> </w:t>
      </w:r>
      <w:r w:rsidR="003F6450">
        <w:rPr>
          <w:rFonts w:asciiTheme="minorHAnsi" w:hAnsiTheme="minorHAnsi" w:cstheme="minorHAnsi"/>
          <w:sz w:val="24"/>
        </w:rPr>
        <w:t>8.</w:t>
      </w:r>
      <w:r w:rsidR="005269F0">
        <w:rPr>
          <w:rFonts w:asciiTheme="minorHAnsi" w:hAnsiTheme="minorHAnsi" w:cstheme="minorHAnsi"/>
          <w:sz w:val="24"/>
        </w:rPr>
        <w:t xml:space="preserve"> </w:t>
      </w:r>
      <w:r w:rsidR="003F6450">
        <w:rPr>
          <w:rFonts w:asciiTheme="minorHAnsi" w:hAnsiTheme="minorHAnsi" w:cstheme="minorHAnsi"/>
          <w:sz w:val="24"/>
        </w:rPr>
        <w:t>srpna 2019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AA" w:rsidRDefault="005601AA" w:rsidP="00AF045B">
      <w:r>
        <w:separator/>
      </w:r>
    </w:p>
  </w:endnote>
  <w:endnote w:type="continuationSeparator" w:id="0">
    <w:p w:rsidR="005601AA" w:rsidRDefault="005601AA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AA" w:rsidRDefault="005601AA" w:rsidP="00AF045B">
      <w:r>
        <w:separator/>
      </w:r>
    </w:p>
  </w:footnote>
  <w:footnote w:type="continuationSeparator" w:id="0">
    <w:p w:rsidR="005601AA" w:rsidRDefault="005601AA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94FB0"/>
    <w:rsid w:val="000E1D15"/>
    <w:rsid w:val="001B0EC4"/>
    <w:rsid w:val="0026111F"/>
    <w:rsid w:val="003F6450"/>
    <w:rsid w:val="004059CB"/>
    <w:rsid w:val="00470F0F"/>
    <w:rsid w:val="00494209"/>
    <w:rsid w:val="005269F0"/>
    <w:rsid w:val="00557117"/>
    <w:rsid w:val="005601AA"/>
    <w:rsid w:val="005C3144"/>
    <w:rsid w:val="00640DD1"/>
    <w:rsid w:val="006F69E9"/>
    <w:rsid w:val="00744EE3"/>
    <w:rsid w:val="00792551"/>
    <w:rsid w:val="007B1DDB"/>
    <w:rsid w:val="007C343B"/>
    <w:rsid w:val="008000A3"/>
    <w:rsid w:val="00880EB3"/>
    <w:rsid w:val="008A2A53"/>
    <w:rsid w:val="008A59D4"/>
    <w:rsid w:val="00A7490F"/>
    <w:rsid w:val="00AE2988"/>
    <w:rsid w:val="00AE3D3C"/>
    <w:rsid w:val="00AF045B"/>
    <w:rsid w:val="00C452C6"/>
    <w:rsid w:val="00C7631F"/>
    <w:rsid w:val="00CD6B3C"/>
    <w:rsid w:val="00CF345C"/>
    <w:rsid w:val="00E5799D"/>
    <w:rsid w:val="00F1786B"/>
    <w:rsid w:val="00F30481"/>
    <w:rsid w:val="00F739EF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DBF11-1C72-4276-8482-50DDE1AD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2D38-96B9-4FEE-8D95-767012D3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748F183E</Template>
  <TotalTime>1</TotalTime>
  <Pages>3</Pages>
  <Words>676</Words>
  <Characters>3994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dcterms:created xsi:type="dcterms:W3CDTF">2019-08-20T06:21:00Z</dcterms:created>
  <dcterms:modified xsi:type="dcterms:W3CDTF">2019-08-20T06:21:00Z</dcterms:modified>
</cp:coreProperties>
</file>